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DE3" w:rsidRDefault="00BB1DE3" w:rsidP="00F567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57BD1">
        <w:rPr>
          <w:rFonts w:ascii="Times New Roman" w:hAnsi="Times New Roman"/>
          <w:b/>
          <w:sz w:val="24"/>
        </w:rPr>
        <w:t>44:67:03:01.  Governing body.</w:t>
      </w:r>
      <w:r>
        <w:rPr>
          <w:rFonts w:ascii="Times New Roman" w:hAnsi="Times New Roman"/>
          <w:sz w:val="24"/>
        </w:rPr>
        <w:t xml:space="preserve"> Each abortion facility operated by limited liability partnership, a corporation, or political subdivision must have an organized governing body legally responsible for the overall conduct of the facility. If the abortion facility is operated by an individual or partnership, the individual or partnership shall carry out the functions in this article pertaining to the governing body. The governing body shall establish and maintain administration policies, procedures, or bylaws governing the operation of the abortion facility. The governing body shall review and approve the credentials of physicians permitted to perform abortion procedures. There shall be a system established to reevaluate credentials on a periodic basis.</w:t>
      </w:r>
    </w:p>
    <w:p w:rsidR="00BB1DE3" w:rsidRDefault="00BB1DE3" w:rsidP="00F567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B1DE3" w:rsidRDefault="00BB1DE3" w:rsidP="00F567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BB1DE3" w:rsidRDefault="00BB1DE3" w:rsidP="00F567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General Authority:</w:t>
      </w:r>
      <w:r>
        <w:rPr>
          <w:rFonts w:ascii="Times New Roman" w:hAnsi="Times New Roman"/>
          <w:sz w:val="24"/>
        </w:rPr>
        <w:t xml:space="preserve"> SDCL 34-23A-51.</w:t>
      </w:r>
    </w:p>
    <w:p w:rsidR="00BB1DE3" w:rsidRDefault="00BB1DE3" w:rsidP="00F567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05F8E">
        <w:rPr>
          <w:rFonts w:ascii="Times New Roman" w:hAnsi="Times New Roman"/>
          <w:b/>
          <w:sz w:val="24"/>
        </w:rPr>
        <w:t>Law Implemented:</w:t>
      </w:r>
      <w:r>
        <w:rPr>
          <w:rFonts w:ascii="Times New Roman" w:hAnsi="Times New Roman"/>
          <w:sz w:val="24"/>
        </w:rPr>
        <w:t xml:space="preserve"> SDCL 34-23A-51(2).</w:t>
      </w:r>
    </w:p>
    <w:p w:rsidR="00BB1DE3" w:rsidRDefault="00BB1DE3" w:rsidP="00F567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B1DE3" w:rsidSect="00BB1DE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57BD1"/>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5F8E"/>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1DE3"/>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5677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677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132</Words>
  <Characters>753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2006-12-22T19:19:00Z</dcterms:created>
  <dcterms:modified xsi:type="dcterms:W3CDTF">2006-12-22T19:20:00Z</dcterms:modified>
</cp:coreProperties>
</file>