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C67DC">
        <w:rPr>
          <w:rFonts w:ascii="Times New Roman" w:hAnsi="Times New Roman"/>
          <w:b/>
          <w:sz w:val="24"/>
        </w:rPr>
        <w:t>44:67:05:03.  Recovery rooms and services.</w:t>
      </w:r>
      <w:r>
        <w:rPr>
          <w:rFonts w:ascii="Times New Roman" w:hAnsi="Times New Roman"/>
          <w:sz w:val="24"/>
        </w:rPr>
        <w:t xml:space="preserve"> Each abortion facility shall be designed and equipped for the types of abortion procedures to be performed.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Recovery rooms shall meet the following requirements: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minimum area of 45 square feet in each recovery station;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Privacy curtains surrounding each recovery station;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work station and handwashing sink. Handwashing facilities shall be equipped with hand-free controls and have a water supply spout mounted so that the discharge is a minimum of five inches above the rim of the fixture;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Adequate lighting with protective covers to prevent lamps from shattering;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An emergency call system to summon staff; and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smartTag w:uri="urn:schemas-microsoft-com:office:smarttags" w:element="place">
        <w:r>
          <w:rPr>
            <w:rFonts w:ascii="Times New Roman" w:hAnsi="Times New Roman"/>
            <w:sz w:val="24"/>
          </w:rPr>
          <w:t>Battery</w:t>
        </w:r>
      </w:smartTag>
      <w:r>
        <w:rPr>
          <w:rFonts w:ascii="Times New Roman" w:hAnsi="Times New Roman"/>
          <w:sz w:val="24"/>
        </w:rPr>
        <w:t xml:space="preserve"> operated emergency lighting.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Recovery services shall include: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Provisions for immediate post-procedure care; and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Emergency drugs and supplies specified by the medical staff.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34-23A-51(5).</w:t>
      </w:r>
    </w:p>
    <w:p w:rsidR="00587A23" w:rsidRDefault="00587A23" w:rsidP="00DB75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7A23" w:rsidSect="00DB7567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87A23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7DC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B7567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56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151</Words>
  <Characters>867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2006-12-22T19:32:00Z</dcterms:created>
  <dcterms:modified xsi:type="dcterms:W3CDTF">2006-12-22T19:32:00Z</dcterms:modified>
</cp:coreProperties>
</file>