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ABORTION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January </w:t>
      </w:r>
      <w:r>
        <w:rPr>
          <w:rFonts w:ascii="Bookman Old Style" w:hAnsi="Bookman Old Style"/>
          <w:lang w:val="en-US" w:bidi="en-US" w:eastAsia="en-US"/>
        </w:rPr>
        <w:t>27</w:t>
      </w:r>
      <w:r>
        <w:rPr>
          <w:rFonts w:ascii="Bookman Old Style" w:hAnsi="Bookman Old Style"/>
        </w:rPr>
        <w:t>,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44:67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ABORTION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w:t>
        <w:tab/>
        <w:tab/>
        <w:tab/>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44:67:02</w:t>
        <w:tab/>
        <w:tab/>
        <w:tab/>
        <w:t>Physical environment and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44:67:03</w:t>
        <w:tab/>
        <w:tab/>
        <w:tab/>
        <w:t>Management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w:t>
        <w:tab/>
        <w:tab/>
        <w:tab/>
        <w:t>Facility and related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44:67:05</w:t>
        <w:tab/>
        <w:tab/>
        <w:tab/>
        <w:t>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44:67:01:02</w:t>
        <w:tab/>
        <w:tab/>
        <w:t>Application for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44:67:01:03</w:t>
        <w:tab/>
        <w:tab/>
        <w:t>Expiration of licenses -- Annual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44:67:01:04</w:t>
        <w:tab/>
        <w:tab/>
        <w:t>Departmental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44:67:01:05</w:t>
        <w:tab/>
        <w:tab/>
        <w:t>Grounds for suspension or revocation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44:67:01:06</w:t>
        <w:tab/>
        <w:tab/>
        <w:t>Procedure for suspension or revocation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44:67:01:07</w:t>
        <w:tab/>
        <w:tab/>
        <w:t>New license issued after suspension or revocation.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44:67:01:08</w:t>
        <w:tab/>
        <w:tab/>
        <w:t>Posting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44:67:01:09</w:t>
        <w:tab/>
        <w:tab/>
        <w:t>Annual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44:67:01:10</w:t>
        <w:tab/>
        <w:tab/>
        <w:t>Appeal from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44:67:01:01.  Definitions.</w:t>
      </w:r>
      <w:r>
        <w:t xml:space="preserve"> Terms defined in SDCL 34-23A-1 have the same meaning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44:67:01:02.  Application for license.</w:t>
      </w:r>
      <w:r>
        <w:t xml:space="preserve"> Any applicant desiring a license or a license renewal shall file with the department an application verified under oath and in a form prescribed by the department. The application shall contain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applicant and operator;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If a firm or corporation, the names and addresses of the principal officers; or if a corporate body, the name of the state under whose laws the corporation is organized;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description of the abortion facility to include the address and whether the facility is owned, leased, or subleased. A true copy of the lease or sublease shall be attached to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certification of consent to allow inspections of the abortion facility by authorized department inspectors upon presentation of identification during the hours of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Satisfactory evidence of the applicant's ability to comply with the minimum standards of this chapter;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Any other information which the secretary of the department considers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issue a license to the applicant if it is satisfied that the facts set forth in the application are true and complete and in accordance with the provisions in SDCL chapter 34-23A and this chapter. The department may refuse to issue a license upon any of the grounds stated in this chapter. Upon denial, the department shall advise the applicant of the reasons for denial. The applicant may contest the denial pursuant to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34-23A-46, 34-23A-48,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44:67:01:03.  Expiration of licenses -- Annual renewal.</w:t>
      </w:r>
      <w:r>
        <w:t xml:space="preserve"> Any license issued under SDCL chapter 34-23A expires on the next succeeding June thirtieth, unless otherwise provided by this chapter, and shall be renewed annually subject to the provisions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34-23A-46,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34-23A-46,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44:67:01:04.  Departmental inspections.</w:t>
      </w:r>
      <w:r>
        <w:t xml:space="preserve"> The department shall, at least annually, make one inspection of each abortion facility licensed under SDCL chapter 34-23A and this chapter to ascertain that the abortion facility is in compliance with the provisions of SDCL chapter 34-23A and this chapter. The inspection shall take place during business hours and shall be conducted by authorized representatives of the department after presentation of identification. If, prior to an inspection, the operator refuses to allow the inspection, no inspection shall be made. If, during the course of the inspection, the operator refuses to allow the inspection to continue, the inspection shall cease. In such cases, the department may immediately initiate revocation proceedings pursuant to SDCL chapter 1-26 against the licensee.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34-23A-49,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44:67:01:05.  Grounds for suspension or revocation of license.</w:t>
      </w:r>
      <w:r>
        <w:t xml:space="preserve"> The department may suspend or revoke a license issued under SDCL chapter 34-23A and this chapter on any of the following grounds: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Violation of any of the provisions of SDCL chapter 34-23A or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Permitting, aiding, or abetting the commission of any unlawful act in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Conduct of practices detrimental to the welfare of the patient;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Failure to allow department inspections, including complaint inspections and necessary follow-up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34-23A-46, 34-23A-48,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44:67:01:06.  Procedure for suspension or revocation of license.</w:t>
      </w:r>
      <w:r>
        <w:t xml:space="preserve"> No license shall be suspended or revoked except in compliance with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34-23A-46, 34-23A-48,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44:67:01:07.  New license issued after suspension or revocation.</w:t>
      </w:r>
      <w:r>
        <w:t xml:space="preserve"> If a license is suspended or revoked as provided in this chapter, a new application for license may be considered by the department if the conditions upon which suspension or revocation was based have been corrected and evidence of this fact has been satisfactorily submitted to the department. A new license may then be granted after proper inspection has been made and all provisions of SDCL chapter 34-23A and this article have been complied with.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34-23A-46, 34-23A-48,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44:67:01:08.  Posting of license.</w:t>
      </w:r>
      <w:r>
        <w:t xml:space="preserve"> The most current license issued by the department must be posted on the premises of the abortion facility in a place conspicuous to the public. Each abortion facility address shall show a current license. The license certificate remains the property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34-23A-46, 34-23A-48,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44:67:01:09.  Annual license fee.</w:t>
      </w:r>
      <w:r>
        <w:t xml:space="preserve"> The annual license fee for an abortion facility is $500.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 35 SDR 305, effective July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44:67:01:10.  Appeal from department.</w:t>
      </w:r>
      <w:r>
        <w:t xml:space="preserve"> Any person aggrieved by any decision or ruling of the department may appeal under the provisions of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44:67:02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PHYSICAL ENVIRONMENT AND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44:67:02:01</w:t>
        <w:tab/>
        <w:tab/>
        <w:t>Physical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44:67:02:02</w:t>
        <w:tab/>
        <w:tab/>
        <w:t>Fire standards and general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44:67:02:01.  Physical environment.</w:t>
      </w:r>
      <w:r>
        <w:t xml:space="preserve"> Each abortion facility shall comply with all applicable physical environment standards in chapter 44:04:02. No system of water supply, plumbing, sewage, and garbage or refuse disposal for abortion facilities may be installed nor may any existing system be materially altered or extended until complete plans and specifications for the installation, alteration, or extension, together with information as the department may require, have been submitted to and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34-23A-51(1),(3),(6),(9).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44:67:02:02.  Fire standards and general fire safety.</w:t>
      </w:r>
      <w:r>
        <w:t xml:space="preserve"> Each abortion facility shall meet applicable fire safety standards in </w:t>
      </w:r>
      <w:r>
        <w:rPr>
          <w:b w:val="1"/>
        </w:rPr>
        <w:t>NFPA 101 Life Safety Code</w:t>
      </w:r>
      <w:r>
        <w:t>, 2000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abortion facility shall be constructed, arranged, equipped, maintained, and operated to avoid undue danger to the lives and safety of its occupants from fire, smoke, fumes, or resulting panic during the period of time reasonably necessary for escape from the structure in case of fire or other emergency. Compliance with this section does not eliminate or reduce the necessity for other provisions for safety of persons using the structure under normal occupancy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NFPA 101 Life Safety Code</w:t>
      </w:r>
      <w:r>
        <w:t>, 2000 edition, National Fire Protection Association. Copies may be obtained from the National Fire Protection Association, P.O. Box 9101, Quincy, MA 02269-9101. Phone: 1-800-344-3555. Cost: $69.50.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MANAGEMENT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44:67:03:01</w:t>
        <w:tab/>
        <w:tab/>
        <w:t>Governing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44:67:03:02</w:t>
        <w:tab/>
        <w:tab/>
        <w:t>Administrator.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44:67:03:03</w:t>
        <w:tab/>
        <w:tab/>
        <w:t>Medical director.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44:67:03:04</w:t>
        <w:tab/>
        <w:tab/>
        <w:t>Facility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44:67:03:05</w:t>
        <w:tab/>
        <w:tab/>
        <w:t>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44:67:03:01.  Governing body.</w:t>
      </w:r>
      <w:r>
        <w:t xml:space="preserve"> Each abortion facility operated by limited liability partnership, a corporation, or political subdivision must have an organized governing body legally responsible for the overall conduct of the facility. If the abortion facility is operated by an individual or partnership, the individual or partnership shall carry out the functions in this article pertaining to the governing body. The governing body shall establish and maintain administration policies, procedures, or bylaws governing the operation of the abortion facility. The governing body shall review and approve the credentials of physicians permitted to perform abortion procedures. There shall be a system established to reevaluate credentials on a periodic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44:67:03:02.  Administrator.</w:t>
      </w:r>
      <w:r>
        <w:t xml:space="preserve"> The governing body shall designate a qualified administrator to represent the owner or governing body and to be responsible for the daily overall management of the abortion facility. The administrator shall designate a qualified person to represent the administrator during the administrator's absence. The governing body shall notify the department in writing of any change of administrator.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44:67:03:03.  Medical director.</w:t>
      </w:r>
      <w:r>
        <w:t xml:space="preserve"> Each abortion facility shall appoint a physician licensed in South Dakota to serve as a medical director. The medical director shall assure physician services are provided only by qualified caregivers.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44:67:03:04.  Facility staff.</w:t>
      </w:r>
      <w:r>
        <w:t xml:space="preserve"> An abortion facility shall have a medical staff responsible for the quality of all medical care provided patients and for the ethical and professional practices of its members. The medical staff shall include physicians, but it may also include other practitioners.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44:67:03:05.  Personnel.</w:t>
      </w:r>
      <w:r>
        <w:t xml:space="preserve"> The abortion facility shall have a sufficient number of qualified personnel to provide effective and safe care. Supervisors shall be 18 years of age or older. Written job descriptions and personnel policies and procedures shall be made available to personnel of all departments and services. The abortion facility may not knowingly employ any person with a conviction for abusing another person. The abortion facility shall establish and follow policies regarding special duty or staff members on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44:67:04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FACILITY AND RELATED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44:67:04:01</w:t>
        <w:tab/>
        <w:tab/>
        <w:t>Nursing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44:67:04:02</w:t>
        <w:tab/>
        <w:tab/>
        <w:t>Employee health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44:67:04:03</w:t>
        <w:tab/>
        <w:tab/>
        <w:t>Tuberculin screening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44:67:04:04</w:t>
        <w:tab/>
        <w:tab/>
        <w:t>Personnel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44:67:04:05</w:t>
        <w:tab/>
        <w:tab/>
        <w:t>Clinic 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44:67:04:06</w:t>
        <w:tab/>
        <w:tab/>
        <w:t>Discharge planning.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44:67:04:07</w:t>
        <w:tab/>
        <w:tab/>
        <w:t>Emergency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44:67:04:08</w:t>
        <w:tab/>
        <w:tab/>
        <w:t>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44:67:04:09</w:t>
        <w:tab/>
        <w:tab/>
        <w:t>Pharmaceutical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44:67:04:10</w:t>
        <w:tab/>
        <w:tab/>
        <w:t>Quality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44:67:04:11</w:t>
        <w:tab/>
        <w:tab/>
        <w:t>Laboratory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44:67:04:12</w:t>
        <w:tab/>
        <w:tab/>
        <w:t>Required informed consent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44:67:04:13</w:t>
        <w:tab/>
        <w:tab/>
      </w:r>
      <w:r>
        <w:t>Mifepristone and Misoprostol administration for medical abortion.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Appendix A</w:t>
        <w:tab/>
        <w:tab/>
        <w:t>Informed consent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44:67:04:01.  Nursing services.</w:t>
      </w:r>
      <w:r>
        <w:t xml:space="preserve"> Each abortion facility shall have an organized nursing service under the direction of a registered nurse. At least one registered nurse shall be on duty in the abortion facility at all times when an abortion procedure patient is in the facility. Written policies and procedures consistent with the standards of nursing practices shall be developed for the direction and guidance of nursing personnel. All licensed practical nurses and other nursing personnel involved in patient care shall be under the direct supervision of a registered nurse.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44:67:04:02.  Employee health program.</w:t>
      </w:r>
      <w:r>
        <w:t xml:space="preserve"> The abortion facility shall have an employee health program for the protection of the patients. All personnel shall be evaluated by a licensed health professional for freedom from reportable communicable disease which poses a threat to others before assignment to duties or within 14 days after employment including an assessment of previous vaccinations and tuberculin skin tests. The facility may not allow anyone with a communicable disease, during the period of communicability, to work in a capacity that would allow spread of the disease. Personnel absent from duty because of a reportable communicable disease which may endanger the health of patients and fellow employees may not return to duty until they are determined by a physician or the physician's designee to no longer have the disease in a communicable stage.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Definition of terms, § 44:20:01:01(7) and (39).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44:67:04:03.  Tuberculin screening requirements.</w:t>
      </w:r>
      <w:r>
        <w:t xml:space="preserve"> Each abortion facility shall comply with the provisions of § 44:04:04:08.01.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44:67:04:04.  Personnel training.</w:t>
      </w:r>
      <w:r>
        <w:t xml:space="preserve"> The abortion facility shall have a formal orientation program and an ongoing education program for all personnel. Ongoing education programs shall cover the required subjects annually. These programs shall include the following subjects: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Fire prevention and response;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Emergency procedures and preparedness;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Infection control and prevention;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Accident prevention and safety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Patient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Confidentiality of patient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Incidents and diseases subject to mandatory reporting and the facility's reporting mechanisms;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Care of patients with unique needs;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Clinic 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Personnel whom the abortion facility determines will have no contact with patients are exempt from training required by subdivisions (5) and (8)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34-23A-51(1),(2),(6),(8),(9),(11).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44:67:04:05.  Clinic policies and procedures.</w:t>
      </w:r>
      <w:r>
        <w:t xml:space="preserve"> Each abortion facility shall establish and maintain policies, procedures, and practices to govern care, and related medical or other services necessary to meet the patient's needs. The nursing service of an abortion clinic shall provide safe and effective care through the ongoing assessment and monitoring for each patient, including medical, physical, mental, and emotional needs. The abortion facility shall establish and implement procedures for assessment and management of symptoms including pain.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Policies and procedures must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Patient eligibility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Physician competency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Patient education and informed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Clinic operational functions;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Patient care, including criteria for monitoring and assessment during recovery; care during the recovery phase; and criteria for 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Patient rights policies;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Emergency and disaster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34-23A-51(3),(10),(11).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44:67:04:06.  Discharge planning.</w:t>
      </w:r>
      <w:r>
        <w:t xml:space="preserve"> Each abortion facility shall have policies and procedures for discharge planning including the person responsible, members of the discharge planning team, a list of area agencies and resources, and a description of the process. Patients shall be offered assistance to obtain needed services upon 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44:67:04:07.  Emergency care.</w:t>
      </w:r>
      <w:r>
        <w:t xml:space="preserve"> Each abortion facility shall establish and implement policies and procedures for emergency care and arrange for transport to a licensed hospital sufficiently close to provide prompt care to the facility's patients if needed. The policies and procedures must provide for an interchange of medical and other information necessary or useful in the care and treatment of individuals transferred between the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44:67:04:08.  Medical records.</w:t>
      </w:r>
      <w:r>
        <w:t xml:space="preserve"> A medical record shall be maintained for each abortion procedure in an abortion facility in conformance with chapter 44:04:09.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44:67:04:09.  Pharmaceutical services.</w:t>
      </w:r>
      <w:r>
        <w:t xml:space="preserve"> The requirements for pharmaceutical services in abortion facilities centers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physician or a pharmacist shall be responsible for the supervision of drug stocks in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Records shall be kept of stock supplies of all drugs and shall give an accounting for all items purchased and dispensed;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Policies and procedures on drug handling, storing, labeling, and dispensing shall be in writing and available to personnel;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All drugs in the facility shall be labeled with drug name, strength, and expiration date and shall be stored in specially designated, well illuminated cabinets, closets, or storerooms. Drug cabinets shall be accessible only to the nurse in charge, the physician, or the pharmacist. All drugs controlled pursuant to SDCL chapter 34-20B shall be kept in a securely locked box, accessible only to the nurse in charge, physician, or the pharmacist.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44:67:04:10.  Quality assessment.</w:t>
      </w:r>
      <w:r>
        <w:t xml:space="preserve"> Each abortion facility shall provide for on-going evaluation of the quality of services provided to patients. Components of the quality assessment evaluation shall include establishment of facility standards; interdisciplinary review of patient services to identify deviations from the standards and actions taken to correct deviations; patient satisfaction surveys; utilization of services provided; and documentation of the evaluation and report to the governing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44:67:04:11.  Laboratory services.</w:t>
      </w:r>
      <w:r>
        <w:t xml:space="preserve"> Clinical laboratory tests consistent with the needs of the patients shall be provided or performed by arrangement. The laboratory shall hold a valid Clinical Laboratory Improvement Amendment (CLIA) certificate and comply with CLIA regulations if testing is done onsite. Laboratory tests required on each patient shall be determined by the medical staff and bylaws. The original laboratory report shall be made a part of the patient's medical records. Fire and safety precautions shall be enforced to protect against physical, chemical, and biological hazards peculiar to the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CLIA applications are obtained from the South Dakota Department of Health, Office of Licensure and Certification, 615 East 4</w:t>
      </w:r>
      <w:r>
        <w:rPr>
          <w:vertAlign w:val="superscript"/>
        </w:rPr>
        <w:t>th</w:t>
      </w:r>
      <w:r>
        <w:t xml:space="preserve"> Street, Pierre, SD 57501. Telephone: (605) 773-3356 or </w:t>
      </w:r>
      <w:hyperlink xmlns:r="http://schemas.openxmlformats.org/officeDocument/2006/relationships" r:id="R2">
        <w:r>
          <w:rPr>
            <w:rStyle w:val="C2"/>
          </w:rPr>
          <w:t>www.hhs/cms/clia</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44</w:t>
      </w:r>
      <w:r>
        <w:rPr>
          <w:b w:val="1"/>
        </w:rPr>
        <w:t>:</w:t>
      </w:r>
      <w:r>
        <w:rPr>
          <w:b w:val="1"/>
          <w:lang w:bidi="en-US"/>
        </w:rPr>
        <w:t>67</w:t>
      </w:r>
      <w:r>
        <w:rPr>
          <w:b w:val="1"/>
        </w:rPr>
        <w:t>:</w:t>
      </w:r>
      <w:r>
        <w:rPr>
          <w:b w:val="1"/>
          <w:lang w:bidi="en-US"/>
        </w:rPr>
        <w:t>04</w:t>
      </w:r>
      <w:r>
        <w:rPr>
          <w:b w:val="1"/>
        </w:rPr>
        <w:t>:</w:t>
      </w:r>
      <w:r>
        <w:rPr>
          <w:b w:val="1"/>
          <w:lang w:bidi="en-US"/>
        </w:rPr>
        <w:t>12</w:t>
      </w:r>
      <w:r>
        <w:rPr>
          <w:b w:val="1"/>
        </w:rPr>
        <w:t>.  Required informed consent form.</w:t>
      </w:r>
      <w:r>
        <w:t xml:space="preserve"> To meet the requirements of </w:t>
      </w:r>
      <w:r>
        <w:rPr>
          <w:lang w:bidi="en-US"/>
        </w:rPr>
        <w:t xml:space="preserve">SDCL subdivision </w:t>
      </w:r>
      <w:r>
        <w:t>34-23A-10.1(1), the physician shall use the informed consent form provided in 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46</w:t>
      </w:r>
      <w:r>
        <w:t xml:space="preserve"> SDR </w:t>
      </w:r>
      <w:r>
        <w:rPr>
          <w:lang w:bidi="en-US"/>
        </w:rPr>
        <w:t>65</w:t>
      </w:r>
      <w:r>
        <w:t xml:space="preserve">, effective </w:t>
      </w:r>
      <w:r>
        <w:rPr>
          <w:lang w:bidi="en-US"/>
        </w:rPr>
        <w:t>November 26,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34</w:t>
      </w:r>
      <w:r>
        <w:t>-</w:t>
      </w:r>
      <w:r>
        <w:rPr>
          <w:lang w:bidi="en-US"/>
        </w:rPr>
        <w:t>23A-10.5.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34-23A-10.1(1), 34-23A-10.5.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44</w:t>
      </w:r>
      <w:r>
        <w:rPr>
          <w:b w:val="1"/>
          <w:szCs w:val="20"/>
        </w:rPr>
        <w:t>:</w:t>
      </w:r>
      <w:r>
        <w:rPr>
          <w:b w:val="1"/>
          <w:szCs w:val="20"/>
          <w:lang w:bidi="en-US"/>
        </w:rPr>
        <w:t>67</w:t>
      </w:r>
      <w:r>
        <w:rPr>
          <w:b w:val="1"/>
          <w:szCs w:val="20"/>
        </w:rPr>
        <w:t>:</w:t>
      </w:r>
      <w:r>
        <w:rPr>
          <w:b w:val="1"/>
          <w:szCs w:val="20"/>
          <w:lang w:bidi="en-US"/>
        </w:rPr>
        <w:t>04</w:t>
      </w:r>
      <w:r>
        <w:rPr>
          <w:b w:val="1"/>
          <w:szCs w:val="20"/>
        </w:rPr>
        <w:t>:</w:t>
      </w:r>
      <w:r>
        <w:rPr>
          <w:b w:val="1"/>
          <w:szCs w:val="20"/>
          <w:lang w:bidi="en-US"/>
        </w:rPr>
        <w:t>13</w:t>
      </w:r>
      <w:r>
        <w:rPr>
          <w:b w:val="1"/>
          <w:szCs w:val="20"/>
        </w:rPr>
        <w:t>.  Mifepristone and Misoprostol administration for medical abortion.</w:t>
      </w:r>
      <w:r>
        <w:rPr>
          <w:szCs w:val="20"/>
        </w:rPr>
        <w:t xml:space="preserve"> </w:t>
      </w:r>
      <w:r>
        <w:t>For the purpose of inducing a medical abortion, a pregnant woman may only take the medications Mifepristone or Misoprostol up to nine weeks after conception. Mifepristone and Misoprostol must be prescribed and dispensed by a licensed physician in a licensed abortion facility consistent with SDCL chapter 34-23A and in compliance with the applicable requirements in SDCL chapter 36-4</w:t>
      </w:r>
      <w:r>
        <w:rPr>
          <w:lang w:bidi="en-US"/>
        </w:rPr>
        <w:t xml:space="preserve">. </w:t>
      </w:r>
      <w:r>
        <w:t>A pregnant woman may onl</w:t>
      </w:r>
      <w:r>
        <w:rPr>
          <w:lang w:bidi="en-US"/>
        </w:rPr>
        <w:t>y</w:t>
      </w:r>
      <w:r>
        <w:t xml:space="preserve"> take Mifepristone at a licensed abortion facility and only after informed consent has been obtained </w:t>
      </w:r>
      <w:r>
        <w:rPr>
          <w:lang w:bidi="en-US"/>
        </w:rPr>
        <w:t>p</w:t>
      </w:r>
      <w:r>
        <w:t>ursuant to SDCL 34-23A-l0.1 and consistent with SDCL 34-23A-56.</w:t>
      </w:r>
      <w:r>
        <w:rPr>
          <w:lang w:bidi="en-US"/>
        </w:rPr>
        <w:t xml:space="preserve"> </w:t>
      </w:r>
      <w:r>
        <w:t>Before dispensing Mifepristone. a physician shall provide the notice required by SDCL 34-23A­l0.l(l)(h) and 34-23A-l0.1(3) ensuring that the pregnant woman has notice that if she changes her mind about the medical ab</w:t>
      </w:r>
      <w:r>
        <w:rPr>
          <w:lang w:bidi="en-US"/>
        </w:rPr>
        <w:t>ortion</w:t>
      </w:r>
      <w:r>
        <w:t xml:space="preserve"> and decides to carry the baby to term, it is possible to reverse the effects of Mifepristone. After taking Mifepristone and undergoing an observation period in the abortion facilit</w:t>
      </w:r>
      <w:r>
        <w:rPr>
          <w:lang w:bidi="en-US"/>
        </w:rPr>
        <w:t>y,</w:t>
      </w:r>
      <w:r>
        <w:t xml:space="preserve"> the pregnant woman may return home. Between 24-72 hours after taking Mifepristone, if the pregnant woman decides to continue with the medical abortion</w:t>
      </w:r>
      <w:r>
        <w:rPr>
          <w:lang w:bidi="en-US"/>
        </w:rPr>
        <w:t>,</w:t>
      </w:r>
      <w:r>
        <w:t xml:space="preserve"> the pregnant woman must return to the licensed abortion facility to receive the proper amount of Misoprostol. A licensed physician shall dispense the Misoprostol to the pregnant woman in the same manner as required for Mifepristone under this section.</w:t>
      </w:r>
      <w:r>
        <w:rPr>
          <w:lang w:bidi="en-US"/>
        </w:rPr>
        <w:t xml:space="preserve"> </w:t>
      </w:r>
      <w:r>
        <w:t>Neither Mifepristone nor Misoprostol may be dispensed for the purpose of inducing a medical abortion in any manner contrary to this section. The abortion facility staff shall monitor the pregnant woman for complications for a medically necessary period following each administration of the abortion-inducing medications and report the following information to the De</w:t>
      </w:r>
      <w:r>
        <w:rPr>
          <w:lang w:bidi="en-US"/>
        </w:rPr>
        <w:t>p</w:t>
      </w:r>
      <w:r>
        <w:t>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szCs w:val="20"/>
          <w:lang w:bidi="en-US"/>
        </w:rPr>
        <w:t>(1)  Any complication that requires medical follow-up;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(2)  The medical follow-up that was required resulting from any complication;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(3)  The facility where the medical follow-up was performed;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(4)  If the pregnant woman was sex trafficked.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The abortion facility staff shall schedule a follow-up appointment with the pregnant woman to return to the abortion facility on the 14th day after taking the medication to confirm that the fetus, placenta, and membranes have been fully expelled.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For the purposes of this section, the term, medical abortion, means a procedure that uses medication to end a pregnancy.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48</w:t>
      </w:r>
      <w:r>
        <w:rPr>
          <w:szCs w:val="20"/>
        </w:rPr>
        <w:t xml:space="preserve"> SDR </w:t>
      </w:r>
      <w:r>
        <w:rPr>
          <w:szCs w:val="20"/>
          <w:lang w:bidi="en-US"/>
        </w:rPr>
        <w:t>75</w:t>
      </w:r>
      <w:r>
        <w:rPr>
          <w:szCs w:val="20"/>
        </w:rPr>
        <w:t xml:space="preserve">, effective </w:t>
      </w:r>
      <w:r>
        <w:rPr>
          <w:szCs w:val="20"/>
          <w:lang w:bidi="en-US"/>
        </w:rPr>
        <w:t>January 27, 2022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34-23A-51(7)(10)(11).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34-23A-10.1(3), 34-23A-19, 34-23A-56</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DEPARTMENT</w:t>
      </w:r>
      <w:r>
        <w:rPr>
          <w:lang w:bidi="en-US"/>
        </w:rPr>
        <w:t xml:space="preserve">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lang w:bidi="en-US"/>
        </w:rPr>
        <w:t>ABORTION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INFORMED CONSENT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Chapter </w:t>
      </w:r>
      <w:r>
        <w:rPr>
          <w:lang w:bidi="en-US"/>
        </w:rPr>
        <w:t>44</w:t>
      </w:r>
      <w:r>
        <w:t>:</w:t>
      </w:r>
      <w:r>
        <w:rPr>
          <w:lang w:bidi="en-US"/>
        </w:rPr>
        <w:t>67</w:t>
      </w:r>
      <w:r>
        <w:t>:</w:t>
      </w:r>
      <w:r>
        <w:rPr>
          <w:lang w:bidi="en-US"/>
        </w:rPr>
        <w:t>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lang w:bidi="en-US"/>
        </w:rPr>
        <w:t>See: 44:67:04:12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46</w:t>
      </w:r>
      <w:r>
        <w:t xml:space="preserve"> SDR </w:t>
      </w:r>
      <w:r>
        <w:rPr>
          <w:lang w:bidi="en-US"/>
        </w:rPr>
        <w:t>65</w:t>
      </w:r>
      <w:r>
        <w:t xml:space="preserve">, effective </w:t>
      </w:r>
      <w:r>
        <w:rPr>
          <w:lang w:bidi="en-US"/>
        </w:rPr>
        <w:t>November 26, 2019; 48 SDR 59, effective December 5,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br w:type="page"/>
      </w:r>
      <w:r>
        <w:rPr>
          <w:noProof w:val="1"/>
        </w:rPr>
        <w:drawing>
          <wp:inline xmlns:wp="http://schemas.openxmlformats.org/drawingml/2006/wordprocessingDrawing" distT="0" distB="0" distL="0" distR="0">
            <wp:extent cx="6053455" cy="7833995"/>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dpi="0">
                    <a:blip xmlns:r="http://schemas.openxmlformats.org/officeDocument/2006/relationships" r:embed="Relimage1"/>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lang w:bidi="en-US"/>
        </w:rPr>
      </w:pPr>
      <w:r>
        <w:rPr>
          <w:noProof w:val="1"/>
        </w:rPr>
        <w:drawing>
          <wp:inline xmlns:wp="http://schemas.openxmlformats.org/drawingml/2006/wordprocessingDrawing" distT="0" distB="0" distL="0" distR="0">
            <wp:extent cx="4638675" cy="545782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dpi="0">
                    <a:blip xmlns:r="http://schemas.openxmlformats.org/officeDocument/2006/relationships" r:embed="Relimage2"/>
                    <a:srcRect/>
                    <a:stretch>
                      <a:fillRect/>
                    </a:stretch>
                  </pic:blipFill>
                  <pic:spPr>
                    <a:xfrm>
                      <a:off x="0" y="0"/>
                      <a:ext cx="4638675" cy="5457825"/>
                    </a:xfrm>
                    <a:prstGeom prst="rect"/>
                  </pic:spPr>
                </pic:pic>
              </a:graphicData>
            </a:graphic>
          </wp:inline>
        </w:drawing>
      </w:r>
    </w:p>
    <w:p>
      <w:pPr>
        <w:pStyle w:val="P4"/>
        <w:spacing w:lineRule="auto" w:line="254" w:before="84" w:beforeAutospacing="0" w:afterAutospacing="0"/>
        <w:ind w:firstLine="271" w:left="1439" w:right="1280"/>
        <w:rPr>
          <w:sz w:val="16"/>
        </w:rPr>
      </w:pPr>
      <w:r>
        <w:rPr>
          <w:color w:val="383838"/>
          <w:sz w:val="16"/>
        </w:rPr>
        <w:t xml:space="preserve">This medication can be </w:t>
      </w:r>
      <w:r>
        <w:rPr>
          <w:color w:val="4F4F4F"/>
          <w:sz w:val="16"/>
        </w:rPr>
        <w:t xml:space="preserve">taken up </w:t>
      </w:r>
      <w:r>
        <w:rPr>
          <w:color w:val="383838"/>
          <w:sz w:val="16"/>
        </w:rPr>
        <w:t xml:space="preserve">to </w:t>
      </w:r>
      <w:r>
        <w:rPr>
          <w:color w:val="4F4F4F"/>
          <w:sz w:val="16"/>
        </w:rPr>
        <w:t xml:space="preserve">9 </w:t>
      </w:r>
      <w:r>
        <w:rPr>
          <w:color w:val="383838"/>
          <w:sz w:val="16"/>
        </w:rPr>
        <w:t xml:space="preserve">weeks </w:t>
      </w:r>
      <w:r>
        <w:rPr>
          <w:color w:val="4F4F4F"/>
          <w:sz w:val="16"/>
        </w:rPr>
        <w:t>after conception</w:t>
      </w:r>
      <w:r>
        <w:rPr>
          <w:color w:val="7E7E7E"/>
          <w:sz w:val="16"/>
        </w:rPr>
        <w:t xml:space="preserve">. </w:t>
      </w:r>
      <w:r>
        <w:rPr>
          <w:color w:val="383838"/>
          <w:sz w:val="16"/>
        </w:rPr>
        <w:t xml:space="preserve">The woman </w:t>
      </w:r>
      <w:r>
        <w:rPr>
          <w:color w:val="1F1F1F"/>
          <w:sz w:val="16"/>
        </w:rPr>
        <w:t xml:space="preserve">is </w:t>
      </w:r>
      <w:r>
        <w:rPr>
          <w:color w:val="383838"/>
          <w:sz w:val="16"/>
        </w:rPr>
        <w:t>give</w:t>
      </w:r>
      <w:r>
        <w:rPr>
          <w:color w:val="696969"/>
          <w:sz w:val="16"/>
        </w:rPr>
        <w:t xml:space="preserve">n </w:t>
      </w:r>
      <w:r>
        <w:rPr>
          <w:color w:val="383838"/>
          <w:sz w:val="16"/>
        </w:rPr>
        <w:t>M</w:t>
      </w:r>
      <w:r>
        <w:rPr>
          <w:color w:val="696969"/>
          <w:sz w:val="16"/>
        </w:rPr>
        <w:t>i</w:t>
      </w:r>
      <w:r>
        <w:rPr>
          <w:color w:val="383838"/>
          <w:sz w:val="16"/>
        </w:rPr>
        <w:t>fepr</w:t>
      </w:r>
      <w:r>
        <w:rPr>
          <w:color w:val="080808"/>
          <w:sz w:val="16"/>
        </w:rPr>
        <w:t>i</w:t>
      </w:r>
      <w:r>
        <w:rPr>
          <w:color w:val="4F4F4F"/>
          <w:sz w:val="16"/>
        </w:rPr>
        <w:t xml:space="preserve">stone to </w:t>
      </w:r>
      <w:r>
        <w:rPr>
          <w:color w:val="383838"/>
          <w:sz w:val="16"/>
        </w:rPr>
        <w:t xml:space="preserve">be </w:t>
      </w:r>
      <w:r>
        <w:rPr>
          <w:color w:val="1F1F1F"/>
          <w:sz w:val="16"/>
        </w:rPr>
        <w:t xml:space="preserve">taken </w:t>
      </w:r>
      <w:r>
        <w:rPr>
          <w:color w:val="4F4F4F"/>
          <w:sz w:val="16"/>
        </w:rPr>
        <w:t xml:space="preserve">by </w:t>
      </w:r>
      <w:r>
        <w:rPr>
          <w:color w:val="383838"/>
          <w:sz w:val="16"/>
        </w:rPr>
        <w:t xml:space="preserve">mouth. After a </w:t>
      </w:r>
      <w:r>
        <w:rPr>
          <w:color w:val="4F4F4F"/>
          <w:sz w:val="16"/>
        </w:rPr>
        <w:t xml:space="preserve">period </w:t>
      </w:r>
      <w:r>
        <w:rPr>
          <w:color w:val="383838"/>
          <w:sz w:val="16"/>
        </w:rPr>
        <w:t xml:space="preserve">of time </w:t>
      </w:r>
      <w:r>
        <w:rPr>
          <w:color w:val="4F4F4F"/>
          <w:sz w:val="16"/>
        </w:rPr>
        <w:t xml:space="preserve">in </w:t>
      </w:r>
      <w:r>
        <w:rPr>
          <w:color w:val="383838"/>
          <w:sz w:val="16"/>
        </w:rPr>
        <w:t xml:space="preserve">the doctor's </w:t>
      </w:r>
      <w:r>
        <w:rPr>
          <w:color w:val="4F4F4F"/>
          <w:sz w:val="16"/>
        </w:rPr>
        <w:t>office</w:t>
      </w:r>
      <w:r>
        <w:rPr>
          <w:color w:val="979797"/>
          <w:sz w:val="16"/>
        </w:rPr>
        <w:t xml:space="preserve">, </w:t>
      </w:r>
      <w:r>
        <w:rPr>
          <w:color w:val="383838"/>
          <w:sz w:val="16"/>
        </w:rPr>
        <w:t xml:space="preserve">she </w:t>
      </w:r>
      <w:r>
        <w:rPr>
          <w:color w:val="4F4F4F"/>
          <w:sz w:val="16"/>
        </w:rPr>
        <w:t xml:space="preserve">may </w:t>
      </w:r>
      <w:r>
        <w:rPr>
          <w:color w:val="7E7E7E"/>
          <w:sz w:val="16"/>
        </w:rPr>
        <w:t>r</w:t>
      </w:r>
      <w:r>
        <w:rPr>
          <w:color w:val="383838"/>
          <w:sz w:val="16"/>
        </w:rPr>
        <w:t xml:space="preserve">eturn home. </w:t>
      </w:r>
      <w:r>
        <w:rPr>
          <w:color w:val="4F4F4F"/>
          <w:sz w:val="16"/>
        </w:rPr>
        <w:t>At</w:t>
      </w:r>
      <w:r>
        <w:rPr>
          <w:color w:val="4F4F4F"/>
          <w:sz w:val="16"/>
          <w:lang w:bidi="en-US"/>
        </w:rPr>
        <w:t xml:space="preserve"> 24 - 72</w:t>
      </w:r>
      <w:r>
        <w:rPr>
          <w:color w:val="4F4F4F"/>
          <w:sz w:val="16"/>
        </w:rPr>
        <w:t xml:space="preserve"> ho</w:t>
      </w:r>
      <w:r>
        <w:rPr>
          <w:color w:val="1F1F1F"/>
          <w:sz w:val="16"/>
        </w:rPr>
        <w:t>u</w:t>
      </w:r>
      <w:r>
        <w:rPr>
          <w:color w:val="383838"/>
          <w:sz w:val="16"/>
        </w:rPr>
        <w:t xml:space="preserve">rs </w:t>
      </w:r>
      <w:r>
        <w:rPr>
          <w:color w:val="4F4F4F"/>
          <w:sz w:val="16"/>
        </w:rPr>
        <w:t xml:space="preserve">after </w:t>
      </w:r>
      <w:r>
        <w:rPr>
          <w:color w:val="383838"/>
          <w:sz w:val="16"/>
        </w:rPr>
        <w:t xml:space="preserve">this dose, </w:t>
      </w:r>
      <w:r>
        <w:rPr>
          <w:color w:val="1F1F1F"/>
          <w:sz w:val="16"/>
        </w:rPr>
        <w:t xml:space="preserve">the </w:t>
      </w:r>
      <w:r>
        <w:rPr>
          <w:color w:val="383838"/>
          <w:sz w:val="16"/>
        </w:rPr>
        <w:t xml:space="preserve">woman </w:t>
      </w:r>
      <w:r>
        <w:rPr>
          <w:color w:val="1F1F1F"/>
          <w:sz w:val="16"/>
        </w:rPr>
        <w:t xml:space="preserve">returns </w:t>
      </w:r>
      <w:r>
        <w:rPr>
          <w:color w:val="383838"/>
          <w:sz w:val="16"/>
        </w:rPr>
        <w:t>to re</w:t>
      </w:r>
      <w:r>
        <w:rPr>
          <w:color w:val="696969"/>
          <w:sz w:val="16"/>
        </w:rPr>
        <w:t>c</w:t>
      </w:r>
      <w:r>
        <w:rPr>
          <w:color w:val="1F1F1F"/>
          <w:sz w:val="16"/>
        </w:rPr>
        <w:t>e</w:t>
      </w:r>
      <w:r>
        <w:rPr>
          <w:color w:val="383838"/>
          <w:sz w:val="16"/>
        </w:rPr>
        <w:t xml:space="preserve">ive the proper </w:t>
      </w:r>
      <w:r>
        <w:rPr>
          <w:color w:val="1F1F1F"/>
          <w:sz w:val="16"/>
        </w:rPr>
        <w:t xml:space="preserve">amount </w:t>
      </w:r>
      <w:r>
        <w:rPr>
          <w:color w:val="383838"/>
          <w:sz w:val="16"/>
        </w:rPr>
        <w:t>of misoprostol.</w:t>
      </w:r>
    </w:p>
    <w:p>
      <w:pPr>
        <w:pStyle w:val="P4"/>
        <w:spacing w:lineRule="auto" w:line="256" w:before="68" w:beforeAutospacing="0" w:afterAutospacing="0"/>
        <w:ind w:firstLine="271" w:left="1439" w:right="1550"/>
        <w:rPr>
          <w:sz w:val="16"/>
        </w:rPr>
      </w:pPr>
      <w:r>
        <w:rPr>
          <w:color w:val="383838"/>
          <w:sz w:val="16"/>
        </w:rPr>
        <w:t xml:space="preserve">The </w:t>
      </w:r>
      <w:r>
        <w:rPr>
          <w:color w:val="4F4F4F"/>
          <w:sz w:val="16"/>
        </w:rPr>
        <w:t xml:space="preserve">client </w:t>
      </w:r>
      <w:r>
        <w:rPr>
          <w:color w:val="383838"/>
          <w:sz w:val="16"/>
        </w:rPr>
        <w:t xml:space="preserve">should </w:t>
      </w:r>
      <w:r>
        <w:rPr>
          <w:color w:val="1F1F1F"/>
          <w:sz w:val="16"/>
        </w:rPr>
        <w:t xml:space="preserve">then </w:t>
      </w:r>
      <w:r>
        <w:rPr>
          <w:color w:val="383838"/>
          <w:sz w:val="16"/>
        </w:rPr>
        <w:t xml:space="preserve">be </w:t>
      </w:r>
      <w:r>
        <w:rPr>
          <w:color w:val="4F4F4F"/>
          <w:sz w:val="16"/>
        </w:rPr>
        <w:t xml:space="preserve">watched </w:t>
      </w:r>
      <w:r>
        <w:rPr>
          <w:color w:val="383838"/>
          <w:sz w:val="16"/>
        </w:rPr>
        <w:t xml:space="preserve">closely by doctors </w:t>
      </w:r>
      <w:r>
        <w:rPr>
          <w:color w:val="4F4F4F"/>
          <w:sz w:val="16"/>
        </w:rPr>
        <w:t xml:space="preserve">and </w:t>
      </w:r>
      <w:r>
        <w:rPr>
          <w:color w:val="383838"/>
          <w:sz w:val="16"/>
        </w:rPr>
        <w:t xml:space="preserve">nurses </w:t>
      </w:r>
      <w:r>
        <w:rPr>
          <w:color w:val="4F4F4F"/>
          <w:sz w:val="16"/>
        </w:rPr>
        <w:t xml:space="preserve">for a </w:t>
      </w:r>
      <w:r>
        <w:rPr>
          <w:color w:val="383838"/>
          <w:sz w:val="16"/>
        </w:rPr>
        <w:t>few hours</w:t>
      </w:r>
      <w:r>
        <w:rPr>
          <w:color w:val="BCBCBC"/>
          <w:sz w:val="16"/>
        </w:rPr>
        <w:t xml:space="preserve">. </w:t>
      </w:r>
      <w:r>
        <w:rPr>
          <w:color w:val="4F4F4F"/>
          <w:sz w:val="16"/>
        </w:rPr>
        <w:t>T</w:t>
      </w:r>
      <w:r>
        <w:rPr>
          <w:color w:val="1F1F1F"/>
          <w:sz w:val="16"/>
        </w:rPr>
        <w:t>h</w:t>
      </w:r>
      <w:r>
        <w:rPr>
          <w:color w:val="4F4F4F"/>
          <w:sz w:val="16"/>
        </w:rPr>
        <w:t xml:space="preserve">e </w:t>
      </w:r>
      <w:r>
        <w:rPr>
          <w:color w:val="696969"/>
          <w:sz w:val="16"/>
        </w:rPr>
        <w:t>f</w:t>
      </w:r>
      <w:r>
        <w:rPr>
          <w:color w:val="383838"/>
          <w:sz w:val="16"/>
        </w:rPr>
        <w:t>etus</w:t>
      </w:r>
      <w:r>
        <w:rPr>
          <w:color w:val="1F1F1F"/>
          <w:sz w:val="16"/>
        </w:rPr>
        <w:t xml:space="preserve">, </w:t>
      </w:r>
      <w:r>
        <w:rPr>
          <w:color w:val="383838"/>
          <w:sz w:val="16"/>
        </w:rPr>
        <w:t>p</w:t>
      </w:r>
      <w:r>
        <w:rPr>
          <w:color w:val="080808"/>
          <w:sz w:val="16"/>
        </w:rPr>
        <w:t>l</w:t>
      </w:r>
      <w:r>
        <w:rPr>
          <w:color w:val="4F4F4F"/>
          <w:sz w:val="16"/>
        </w:rPr>
        <w:t xml:space="preserve">acenta and membranes are </w:t>
      </w:r>
      <w:r>
        <w:rPr>
          <w:color w:val="383838"/>
          <w:sz w:val="16"/>
        </w:rPr>
        <w:t>usually expelled</w:t>
      </w:r>
      <w:r>
        <w:rPr>
          <w:color w:val="4F4F4F"/>
          <w:sz w:val="16"/>
        </w:rPr>
        <w:t xml:space="preserve"> d</w:t>
      </w:r>
      <w:r>
        <w:rPr>
          <w:color w:val="1F1F1F"/>
          <w:sz w:val="16"/>
        </w:rPr>
        <w:t>u</w:t>
      </w:r>
      <w:r>
        <w:rPr>
          <w:color w:val="4F4F4F"/>
          <w:sz w:val="16"/>
        </w:rPr>
        <w:t>r</w:t>
      </w:r>
      <w:r>
        <w:rPr>
          <w:color w:val="7E7E7E"/>
          <w:sz w:val="16"/>
        </w:rPr>
        <w:t>in</w:t>
      </w:r>
      <w:r>
        <w:rPr>
          <w:color w:val="4F4F4F"/>
          <w:sz w:val="16"/>
        </w:rPr>
        <w:t>g this</w:t>
      </w:r>
      <w:r>
        <w:rPr>
          <w:color w:val="383838"/>
          <w:sz w:val="16"/>
        </w:rPr>
        <w:t xml:space="preserve"> time</w:t>
      </w:r>
      <w:r>
        <w:rPr>
          <w:color w:val="BCBCBC"/>
          <w:sz w:val="16"/>
        </w:rPr>
        <w:t xml:space="preserve">. </w:t>
      </w:r>
      <w:r>
        <w:rPr>
          <w:color w:val="4F4F4F"/>
          <w:sz w:val="16"/>
        </w:rPr>
        <w:t>The woman</w:t>
      </w:r>
      <w:r>
        <w:rPr>
          <w:color w:val="383838"/>
          <w:sz w:val="16"/>
        </w:rPr>
        <w:t xml:space="preserve"> </w:t>
      </w:r>
      <w:r>
        <w:rPr>
          <w:color w:val="4F4F4F"/>
          <w:sz w:val="16"/>
        </w:rPr>
        <w:t>shou</w:t>
      </w:r>
      <w:r>
        <w:rPr>
          <w:color w:val="080808"/>
          <w:sz w:val="16"/>
        </w:rPr>
        <w:t>l</w:t>
      </w:r>
      <w:r>
        <w:rPr>
          <w:color w:val="383838"/>
          <w:sz w:val="16"/>
        </w:rPr>
        <w:t xml:space="preserve">d return to the doctor's office </w:t>
      </w:r>
      <w:r>
        <w:rPr>
          <w:color w:val="4F4F4F"/>
          <w:sz w:val="16"/>
        </w:rPr>
        <w:t xml:space="preserve">on the 14th </w:t>
      </w:r>
      <w:r>
        <w:rPr>
          <w:color w:val="383838"/>
          <w:sz w:val="16"/>
        </w:rPr>
        <w:t xml:space="preserve">day </w:t>
      </w:r>
      <w:r>
        <w:rPr>
          <w:color w:val="4F4F4F"/>
          <w:sz w:val="16"/>
        </w:rPr>
        <w:t xml:space="preserve">after </w:t>
      </w:r>
      <w:r>
        <w:rPr>
          <w:color w:val="383838"/>
          <w:sz w:val="16"/>
        </w:rPr>
        <w:t xml:space="preserve">taking </w:t>
      </w:r>
      <w:r>
        <w:rPr>
          <w:color w:val="1F1F1F"/>
          <w:sz w:val="16"/>
        </w:rPr>
        <w:t xml:space="preserve">the </w:t>
      </w:r>
      <w:r>
        <w:rPr>
          <w:color w:val="4F4F4F"/>
          <w:sz w:val="16"/>
        </w:rPr>
        <w:t>medicat</w:t>
      </w:r>
      <w:r>
        <w:rPr>
          <w:color w:val="080808"/>
          <w:sz w:val="16"/>
        </w:rPr>
        <w:t>i</w:t>
      </w:r>
      <w:r>
        <w:rPr>
          <w:color w:val="383838"/>
          <w:sz w:val="16"/>
        </w:rPr>
        <w:t xml:space="preserve">on to assure that there </w:t>
      </w:r>
      <w:r>
        <w:rPr>
          <w:color w:val="4F4F4F"/>
          <w:sz w:val="16"/>
        </w:rPr>
        <w:t xml:space="preserve">are </w:t>
      </w:r>
      <w:r>
        <w:rPr>
          <w:color w:val="383838"/>
          <w:sz w:val="16"/>
        </w:rPr>
        <w:t xml:space="preserve">no problems </w:t>
      </w:r>
      <w:r>
        <w:rPr>
          <w:color w:val="4F4F4F"/>
          <w:sz w:val="16"/>
        </w:rPr>
        <w:t xml:space="preserve">and that </w:t>
      </w:r>
      <w:r>
        <w:rPr>
          <w:color w:val="696969"/>
          <w:sz w:val="16"/>
        </w:rPr>
        <w:t xml:space="preserve">the </w:t>
      </w:r>
      <w:r>
        <w:rPr>
          <w:color w:val="383838"/>
          <w:sz w:val="16"/>
        </w:rPr>
        <w:t>fetus</w:t>
      </w:r>
      <w:r>
        <w:rPr>
          <w:color w:val="080808"/>
          <w:sz w:val="16"/>
        </w:rPr>
        <w:t xml:space="preserve">, </w:t>
      </w:r>
      <w:r>
        <w:rPr>
          <w:color w:val="383838"/>
          <w:sz w:val="16"/>
        </w:rPr>
        <w:t>place</w:t>
      </w:r>
      <w:r>
        <w:rPr>
          <w:color w:val="696969"/>
          <w:sz w:val="16"/>
        </w:rPr>
        <w:t>n</w:t>
      </w:r>
      <w:r>
        <w:rPr>
          <w:color w:val="383838"/>
          <w:sz w:val="16"/>
        </w:rPr>
        <w:t xml:space="preserve">ta </w:t>
      </w:r>
      <w:r>
        <w:rPr>
          <w:color w:val="4F4F4F"/>
          <w:sz w:val="16"/>
        </w:rPr>
        <w:t xml:space="preserve">and membranes have </w:t>
      </w:r>
      <w:r>
        <w:rPr>
          <w:color w:val="383838"/>
          <w:sz w:val="16"/>
        </w:rPr>
        <w:t>bee</w:t>
      </w:r>
      <w:r>
        <w:rPr>
          <w:color w:val="696969"/>
          <w:sz w:val="16"/>
        </w:rPr>
        <w:t xml:space="preserve">n </w:t>
      </w:r>
      <w:r>
        <w:rPr>
          <w:color w:val="383838"/>
          <w:sz w:val="16"/>
        </w:rPr>
        <w:t xml:space="preserve">fully </w:t>
      </w:r>
      <w:r>
        <w:rPr>
          <w:color w:val="4F4F4F"/>
          <w:sz w:val="16"/>
        </w:rPr>
        <w:t>expe</w:t>
      </w:r>
      <w:r>
        <w:rPr>
          <w:color w:val="1F1F1F"/>
          <w:sz w:val="16"/>
        </w:rPr>
        <w:t>ll</w:t>
      </w:r>
      <w:r>
        <w:rPr>
          <w:color w:val="696969"/>
          <w:sz w:val="16"/>
        </w:rPr>
        <w:t>e</w:t>
      </w:r>
      <w:r>
        <w:rPr>
          <w:color w:val="383838"/>
          <w:sz w:val="16"/>
        </w:rPr>
        <w:t>d</w:t>
      </w:r>
      <w:r>
        <w:rPr>
          <w:color w:val="7E7E7E"/>
          <w:sz w:val="16"/>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noProof w:val="1"/>
        </w:rPr>
        <mc:AlternateContent>
          <mc:Choice Requires="wps">
            <w:drawing>
              <wp:anchor xmlns:wp="http://schemas.openxmlformats.org/drawingml/2006/wordprocessingDrawing" distT="0" distB="0" distL="0" distR="0" simplePos="0" relativeHeight="1" behindDoc="1" locked="0" layoutInCell="0" allowOverlap="1">
                <wp:simplePos x="0" y="0"/>
                <wp:positionH relativeFrom="column">
                  <wp:posOffset>850900</wp:posOffset>
                </wp:positionH>
                <wp:positionV relativeFrom="paragraph">
                  <wp:posOffset>424815</wp:posOffset>
                </wp:positionV>
                <wp:extent cx="4462145" cy="1270"/>
                <wp:effectExtent l="0" t="0" r="0" b="0"/>
                <wp:wrapTopAndBottom/>
                <wp:docPr id="14" name="docshape6"/>
                <wp:cNvGraphicFramePr/>
                <a:graphic xmlns:a="http://schemas.openxmlformats.org/drawingml/2006/main">
                  <a:graphicData uri="http://schemas.microsoft.com/office/word/2010/wordprocessingShape">
                    <wps:wsp>
                      <wps:cNvSpPr/>
                      <wps:spPr bwMode="auto">
                        <a:xfrm>
                          <a:off x="0" y="0"/>
                          <a:ext cx="7029" cy="1270"/>
                        </a:xfrm>
                        <a:custGeom>
                          <a:cxnLst>
                            <a:cxn ang="0">
                              <a:pos x="0" y="0"/>
                            </a:cxn>
                            <a:cxn ang="0">
                              <a:pos x="1014730" y="0"/>
                            </a:cxn>
                            <a:cxn ang="0">
                              <a:pos x="1016000" y="0"/>
                            </a:cxn>
                            <a:cxn ang="0">
                              <a:pos x="1523365" y="0"/>
                            </a:cxn>
                            <a:cxn ang="0">
                              <a:pos x="1525270" y="0"/>
                            </a:cxn>
                            <a:cxn ang="0">
                              <a:pos x="2540000" y="0"/>
                            </a:cxn>
                            <a:cxn ang="0">
                              <a:pos x="2541270" y="0"/>
                            </a:cxn>
                            <a:cxn ang="0">
                              <a:pos x="3049270" y="0"/>
                            </a:cxn>
                            <a:cxn ang="0">
                              <a:pos x="3050540" y="0"/>
                            </a:cxn>
                            <a:cxn ang="0">
                              <a:pos x="4065270" y="0"/>
                            </a:cxn>
                            <a:cxn ang="0">
                              <a:pos x="4067175" y="0"/>
                            </a:cxn>
                            <a:cxn ang="0">
                              <a:pos x="4461510" y="0"/>
                            </a:cxn>
                          </a:cxnLst>
                          <a:rect l="0" t="0" r="0" b="0"/>
                          <a:pathLst>
                            <a:path w="7027" h="1270">
                              <a:moveTo>
                                <a:pt x="0" y="0"/>
                              </a:moveTo>
                              <a:lnTo>
                                <a:pt x="1598" y="0"/>
                              </a:lnTo>
                              <a:moveTo>
                                <a:pt x="1600" y="0"/>
                              </a:moveTo>
                              <a:lnTo>
                                <a:pt x="2399" y="0"/>
                              </a:lnTo>
                              <a:moveTo>
                                <a:pt x="2402" y="0"/>
                              </a:moveTo>
                              <a:lnTo>
                                <a:pt x="4000" y="0"/>
                              </a:lnTo>
                              <a:moveTo>
                                <a:pt x="4002" y="0"/>
                              </a:moveTo>
                              <a:lnTo>
                                <a:pt x="4802" y="0"/>
                              </a:lnTo>
                              <a:moveTo>
                                <a:pt x="4804" y="0"/>
                              </a:moveTo>
                              <a:lnTo>
                                <a:pt x="6402" y="0"/>
                              </a:lnTo>
                              <a:moveTo>
                                <a:pt x="6405" y="0"/>
                              </a:moveTo>
                              <a:lnTo>
                                <a:pt x="7026" y="0"/>
                              </a:lnTo>
                            </a:path>
                          </a:pathLst>
                        </a:custGeom>
                        <a:noFill/>
                        <a:ln w="6350" cmpd="sng">
                          <a:solidFill>
                            <a:srgbClr val="000000"/>
                          </a:solidFill>
                          <a:prstDash val="solid"/>
                          <a:roun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bodyPr vert="horz" wrap="square" lIns="91440" tIns="45720" rIns="91440" bIns="45720" anchor="t" anchorCtr="0" upright="1">
                        <a:noAutofit/>
                      </wps:bodyPr>
                    </wps:wsp>
                  </a:graphicData>
                </a:graphic>
              </wp:anchor>
            </w:drawing>
          </mc:Choice>
          <mc:Fallback>
            <w:pict>
              <v:shapetype id="2" path="m,l,21600r21600,l21600,xe"/>
              <v:shape xmlns:o="urn:schemas-microsoft-com:office:office" type="#2" id="docshape6" style="position:absolute;width:351.35pt;height:0.1pt;z-index:1;mso-wrap-distance-left:0pt;mso-wrap-distance-top:0pt;mso-wrap-distance-right:0pt;mso-wrap-distance-bottom:0pt;margin-left:67pt;margin-top:33.45pt;mso-position-horizontal:absolute;mso-position-horizontal-relative:text;mso-position-vertical:absolute;mso-position-vertical-relative:text" strokecolor="#000000" strokeweight="0pt" o:allowoverlap="t">
                <v:textbox inset="3mm,1mm,3mm,1mm"/>
                <w10:wrap type="topAndBottom"/>
              </v:shape>
            </w:pict>
          </mc:Fallback>
        </mc:AlternateConten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978" w:leader="none"/>
          <w:tab w:val="left" w:pos="2229" w:leader="none"/>
          <w:tab w:val="left" w:pos="4465" w:leader="none"/>
        </w:tabs>
        <w:spacing w:before="4" w:beforeAutospacing="0" w:afterAutospacing="0"/>
        <w:ind w:right="37"/>
        <w:jc w:val="center"/>
        <w:rPr>
          <w:sz w:val="16"/>
        </w:rPr>
      </w:pPr>
      <w:r>
        <w:rPr>
          <w:sz w:val="16"/>
        </w:rPr>
        <w:t>On</w:t>
      </w:r>
      <w:r>
        <w:rPr>
          <w:sz w:val="16"/>
          <w:u w:val="single"/>
        </w:rPr>
        <w:tab/>
      </w:r>
      <w:r>
        <w:rPr>
          <w:sz w:val="16"/>
        </w:rPr>
        <w:t>[date], at</w:t>
      </w:r>
      <w:r>
        <w:rPr>
          <w:sz w:val="16"/>
          <w:u w:val="single"/>
        </w:rPr>
        <w:tab/>
      </w:r>
      <w:r>
        <w:rPr>
          <w:sz w:val="16"/>
        </w:rPr>
        <w:t>[time of day), I,</w:t>
      </w:r>
      <w:r>
        <w:rPr>
          <w:sz w:val="16"/>
          <w:u w:val="single"/>
        </w:rPr>
        <w:tab/>
        <w:t xml:space="preserve"> </w:t>
      </w:r>
    </w:p>
    <w:p>
      <w:pPr>
        <w:spacing w:before="15" w:beforeAutospacing="0" w:afterAutospacing="0"/>
        <w:ind w:left="107" w:right="37"/>
        <w:jc w:val="center"/>
        <w:rPr>
          <w:sz w:val="16"/>
        </w:rPr>
      </w:pPr>
      <w:r>
        <w:rPr>
          <w:sz w:val="16"/>
        </w:rPr>
        <w:t>[signature of pregnant woman], certify that I read and I understand the above disclosures on this page.</w:t>
      </w:r>
    </w:p>
    <w:p>
      <w:pPr>
        <w:ind w:left="97" w:right="37"/>
        <w:jc w:val="center"/>
        <w:rPr>
          <w:sz w:val="16"/>
        </w:rPr>
      </w:pPr>
      <w:r>
        <w:rPr>
          <w:sz w:val="16"/>
        </w:rPr>
        <w:t>Any clarifications, explanations, or answers to my questions were provided to me in writing to my satisfaction.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16"/>
          <w:lang w:bidi="en-US"/>
        </w:rPr>
      </w:pPr>
      <w:r>
        <w:rPr>
          <w:sz w:val="16"/>
        </w:rPr>
        <w:t xml:space="preserve">Page </w:t>
      </w:r>
      <w:r>
        <w:rPr>
          <w:sz w:val="16"/>
          <w:lang w:bidi="en-US"/>
        </w:rPr>
        <w:t>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16"/>
          <w:lang w:bidi="en-US"/>
        </w:rPr>
      </w:pPr>
    </w:p>
    <w:p>
      <w:pPr>
        <w:spacing w:before="95" w:beforeAutospacing="0" w:afterAutospacing="0"/>
        <w:ind w:left="1439"/>
        <w:rPr>
          <w:rFonts w:ascii="Arial" w:hAnsi="Arial"/>
          <w:sz w:val="16"/>
        </w:rPr>
      </w:pPr>
      <w:r>
        <w:rPr>
          <w:rFonts w:ascii="Arial" w:hAnsi="Arial"/>
          <w:b w:val="1"/>
          <w:sz w:val="16"/>
        </w:rPr>
        <w:t>Discontinuation of Drug Induced Abortion</w:t>
      </w:r>
    </w:p>
    <w:p>
      <w:pPr>
        <w:pStyle w:val="P4"/>
        <w:spacing w:before="11" w:beforeAutospacing="0" w:afterAutospacing="0"/>
        <w:jc w:val="both"/>
        <w:rPr>
          <w:sz w:val="16"/>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39"/>
        <w:rPr>
          <w:rFonts w:ascii="Arial" w:hAnsi="Arial"/>
          <w:sz w:val="16"/>
        </w:rPr>
      </w:pPr>
      <w:r>
        <w:rPr>
          <w:rFonts w:ascii="Arial" w:hAnsi="Arial"/>
          <w:sz w:val="16"/>
        </w:rPr>
        <w:t xml:space="preserve">Even after a pregnant mother takes Mifepristone, or another drug approved by the United States Food and Drug Administration for the same use, it is still possible to discontinue a drug- induced abortion by not taking the prescribed Misoprostol. Information is available on the Department of Health website </w:t>
      </w:r>
      <w:hyperlink xmlns:r="http://schemas.openxmlformats.org/officeDocument/2006/relationships" r:id="R3">
        <w:r>
          <w:rPr>
            <w:rFonts w:ascii="Arial" w:hAnsi="Arial"/>
            <w:sz w:val="16"/>
            <w:u w:val="none" w:color="0000FF"/>
          </w:rPr>
          <w:t>http://doh.sd.gov/abortion/</w:t>
        </w:r>
        <w:r>
          <w:rPr>
            <w:rFonts w:ascii="Arial" w:hAnsi="Arial"/>
            <w:sz w:val="16"/>
          </w:rPr>
          <w:t xml:space="preserve">. </w:t>
        </w:r>
      </w:hyperlink>
      <w:r>
        <w:rPr>
          <w:rFonts w:ascii="Arial" w:hAnsi="Arial"/>
          <w:sz w:val="16"/>
        </w:rPr>
        <w:t>For more specific information, please contact your physician or medical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39"/>
        <w:rPr>
          <w:rFonts w:ascii="Arial" w:hAnsi="Arial"/>
          <w:sz w:val="16"/>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noProof w:val="1"/>
        </w:rPr>
        <w:drawing>
          <wp:inline xmlns:wp="http://schemas.openxmlformats.org/drawingml/2006/wordprocessingDrawing" distT="0" distB="0" distL="0" distR="0">
            <wp:extent cx="5543550" cy="616267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dpi="0">
                    <a:blip xmlns:r="http://schemas.openxmlformats.org/officeDocument/2006/relationships" r:embed="Relimage3"/>
                    <a:srcRect/>
                    <a:stretch>
                      <a:fillRect/>
                    </a:stretch>
                  </pic:blipFill>
                  <pic:spPr>
                    <a:xfrm>
                      <a:off x="0" y="0"/>
                      <a:ext cx="5543550" cy="6162675"/>
                    </a:xfrm>
                    <a:prstGeom prst="rect"/>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978" w:leader="none"/>
          <w:tab w:val="left" w:pos="2229" w:leader="none"/>
          <w:tab w:val="left" w:pos="4465" w:leader="none"/>
        </w:tabs>
        <w:spacing w:before="4" w:beforeAutospacing="0" w:afterAutospacing="0"/>
        <w:ind w:right="37"/>
        <w:jc w:val="center"/>
        <w:rPr>
          <w:sz w:val="16"/>
        </w:rPr>
      </w:pPr>
      <w:r>
        <w:rPr>
          <w:sz w:val="16"/>
        </w:rPr>
        <w:t>On</w:t>
      </w:r>
      <w:r>
        <w:rPr>
          <w:sz w:val="16"/>
          <w:u w:val="single"/>
        </w:rPr>
        <w:tab/>
      </w:r>
      <w:r>
        <w:rPr>
          <w:sz w:val="16"/>
        </w:rPr>
        <w:t>[date], at</w:t>
      </w:r>
      <w:r>
        <w:rPr>
          <w:sz w:val="16"/>
          <w:u w:val="single"/>
        </w:rPr>
        <w:tab/>
      </w:r>
      <w:r>
        <w:rPr>
          <w:sz w:val="16"/>
        </w:rPr>
        <w:t>[time of day), I,</w:t>
      </w:r>
      <w:r>
        <w:rPr>
          <w:sz w:val="16"/>
          <w:u w:val="single"/>
        </w:rPr>
        <w:tab/>
        <w:t xml:space="preserve"> </w:t>
      </w:r>
    </w:p>
    <w:p>
      <w:pPr>
        <w:spacing w:before="15" w:beforeAutospacing="0" w:afterAutospacing="0"/>
        <w:ind w:left="107" w:right="37"/>
        <w:jc w:val="center"/>
        <w:rPr>
          <w:sz w:val="16"/>
        </w:rPr>
      </w:pPr>
      <w:r>
        <w:rPr>
          <w:sz w:val="16"/>
        </w:rPr>
        <w:t>[signature of pregnant woman], certify that I read and I understand the above disclosures on this page.</w:t>
      </w:r>
    </w:p>
    <w:p>
      <w:pPr>
        <w:ind w:left="97" w:right="37"/>
        <w:jc w:val="center"/>
        <w:rPr>
          <w:sz w:val="16"/>
        </w:rPr>
      </w:pPr>
      <w:r>
        <w:rPr>
          <w:sz w:val="16"/>
        </w:rPr>
        <w:t>Any clarifications, explanations, or answers to my questions were provided to me in writing to my satisfaction.</w:t>
      </w:r>
    </w:p>
    <w:p>
      <w:pPr>
        <w:ind w:left="97" w:right="37"/>
        <w:jc w:val="center"/>
        <w:rPr>
          <w:sz w:val="16"/>
        </w:rPr>
      </w:pPr>
      <w:r>
        <w:rPr>
          <w:sz w:val="16"/>
        </w:rPr>
        <w:t>Page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noProof w:val="1"/>
        </w:rPr>
        <w:drawing>
          <wp:inline xmlns:wp="http://schemas.openxmlformats.org/drawingml/2006/wordprocessingDrawing" distT="0" distB="0" distL="0" distR="0">
            <wp:extent cx="6053455" cy="7833995"/>
            <wp:effectExtent l="0" t="0" r="0" b="0"/>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dpi="0">
                    <a:blip xmlns:r="http://schemas.openxmlformats.org/officeDocument/2006/relationships" r:embed="Relimage4"/>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noProof w:val="1"/>
        </w:rPr>
        <w:drawing>
          <wp:inline xmlns:wp="http://schemas.openxmlformats.org/drawingml/2006/wordprocessingDrawing" distT="0" distB="0" distL="0" distR="0">
            <wp:extent cx="6053455" cy="7833995"/>
            <wp:effectExtent l="0" t="0" r="0" b="0"/>
            <wp:docPr id="5" name="Pictu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dpi="0">
                    <a:blip xmlns:r="http://schemas.openxmlformats.org/officeDocument/2006/relationships" r:embed="Relimage5"/>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noProof w:val="1"/>
        </w:rPr>
        <w:drawing>
          <wp:inline xmlns:wp="http://schemas.openxmlformats.org/drawingml/2006/wordprocessingDrawing" distT="0" distB="0" distL="0" distR="0">
            <wp:extent cx="6053455" cy="7833995"/>
            <wp:effectExtent l="0" t="0" r="0" b="0"/>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dpi="0">
                    <a:blip xmlns:r="http://schemas.openxmlformats.org/officeDocument/2006/relationships" r:embed="Relimage6"/>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noProof w:val="1"/>
        </w:rPr>
        <w:drawing>
          <wp:inline xmlns:wp="http://schemas.openxmlformats.org/drawingml/2006/wordprocessingDrawing" distT="0" distB="0" distL="0" distR="0">
            <wp:extent cx="6053455" cy="7833995"/>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dpi="0">
                    <a:blip xmlns:r="http://schemas.openxmlformats.org/officeDocument/2006/relationships" r:embed="Relimage7"/>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noProof w:val="1"/>
        </w:rPr>
        <w:drawing>
          <wp:inline xmlns:wp="http://schemas.openxmlformats.org/drawingml/2006/wordprocessingDrawing" distT="0" distB="0" distL="0" distR="0">
            <wp:extent cx="4162425" cy="46482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dpi="0">
                    <a:blip xmlns:r="http://schemas.openxmlformats.org/officeDocument/2006/relationships" r:embed="Relimage8"/>
                    <a:srcRect/>
                    <a:stretch>
                      <a:fillRect/>
                    </a:stretch>
                  </pic:blipFill>
                  <pic:spPr>
                    <a:xfrm>
                      <a:off x="0" y="0"/>
                      <a:ext cx="4162425" cy="4648200"/>
                    </a:xfrm>
                    <a:prstGeom prst="rect"/>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2267" w:leader="none"/>
        </w:tabs>
        <w:spacing w:before="96" w:beforeAutospacing="0" w:afterAutospacing="0"/>
        <w:ind w:left="1547" w:right="1571"/>
        <w:rPr>
          <w:rFonts w:ascii="Arial" w:hAnsi="Arial"/>
          <w:color w:val="000000"/>
          <w:sz w:val="16"/>
        </w:rPr>
      </w:pPr>
      <w:r>
        <w:rPr>
          <w:rFonts w:ascii="Arial" w:hAnsi="Arial"/>
          <w:b w:val="1"/>
          <w:color w:val="000000"/>
          <w:sz w:val="16"/>
        </w:rPr>
        <w:t>1-g)</w:t>
        <w:tab/>
        <w:t xml:space="preserve">The statistically significant medical risk associated with carrying her child to term compared to undergoing an induced abortion </w:t>
      </w:r>
      <w:r>
        <w:rPr>
          <w:rFonts w:ascii="Arial" w:hAnsi="Arial"/>
          <w:color w:val="000000"/>
          <w:sz w:val="16"/>
        </w:rPr>
        <w:t>― In an otherwise healthy woman, carrying a baby to term is usually a safe, healthy process for the mother. Based on data from the CDC, the following are some common maternal health conditions or problems a woman may experience during pregnancy: anemia, urinary tract infections, depression, hypertension, diabetes, obesity, infections, and Hyperemesis Gravidarum (a severe form of nausea and vomiting in pregnancy). To compare those risks to the risks of abortion, please refer to 1-e above, which sets out the risk factors presented by abortion to the mother. In regards to the unborn child, the abortion will terminate the life of a whole, separate, unique living human being. On the other hand, although every pregnancy has some risk of problems, continuing a pregnancy and delivering a baby is usually a safe and healthy process for an otherwise healthy woman.</w:t>
      </w:r>
    </w:p>
    <w:p>
      <w:pPr>
        <w:pStyle w:val="P4"/>
        <w:rPr>
          <w:color w:val="000000"/>
          <w:sz w:val="16"/>
        </w:rPr>
      </w:pPr>
      <w:r>
        <w:rPr>
          <w:noProof w:val="1"/>
          <w:color w:val="000000"/>
          <w:sz w:val="16"/>
        </w:rPr>
        <mc:AlternateContent>
          <mc:Choice Requires="wps">
            <w:drawing>
              <wp:anchor xmlns:wp="http://schemas.openxmlformats.org/drawingml/2006/wordprocessingDrawing" distT="0" distB="0" distL="0" distR="0" simplePos="0" relativeHeight="2" behindDoc="1" locked="0" layoutInCell="1" allowOverlap="1">
                <wp:simplePos x="0" y="0"/>
                <wp:positionH relativeFrom="page">
                  <wp:posOffset>1643380</wp:posOffset>
                </wp:positionH>
                <wp:positionV relativeFrom="paragraph">
                  <wp:posOffset>74930</wp:posOffset>
                </wp:positionV>
                <wp:extent cx="4460875" cy="1270"/>
                <wp:effectExtent l="0" t="0" r="0" b="0"/>
                <wp:wrapTopAndBottom/>
                <wp:docPr id="18" name="docshape24"/>
                <wp:cNvGraphicFramePr/>
                <a:graphic xmlns:a="http://schemas.openxmlformats.org/drawingml/2006/main">
                  <a:graphicData uri="http://schemas.microsoft.com/office/word/2010/wordprocessingShape">
                    <wps:wsp>
                      <wps:cNvSpPr/>
                      <wps:spPr bwMode="auto">
                        <a:xfrm>
                          <a:off x="0" y="0"/>
                          <a:ext cx="7025" cy="1270"/>
                        </a:xfrm>
                        <a:custGeom>
                          <a:cxnLst>
                            <a:cxn ang="0">
                              <a:pos x="0" y="0"/>
                            </a:cxn>
                            <a:cxn ang="0">
                              <a:pos x="4460240" y="0"/>
                            </a:cxn>
                          </a:cxnLst>
                          <a:rect l="0" t="0" r="0" b="0"/>
                          <a:pathLst>
                            <a:path w="7025" h="1270">
                              <a:moveTo>
                                <a:pt x="0" y="0"/>
                              </a:moveTo>
                              <a:lnTo>
                                <a:pt x="7024" y="0"/>
                              </a:lnTo>
                            </a:path>
                          </a:pathLst>
                        </a:custGeom>
                        <a:noFill/>
                        <a:ln w="6350" cmpd="sng">
                          <a:solidFill>
                            <a:srgbClr val="000000"/>
                          </a:solidFill>
                          <a:prstDash val="solid"/>
                          <a:roun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bodyPr vert="horz" wrap="square" lIns="91440" tIns="45720" rIns="91440" bIns="45720" anchor="t" anchorCtr="0" upright="1">
                        <a:noAutofit/>
                      </wps:bodyPr>
                    </wps:wsp>
                  </a:graphicData>
                </a:graphic>
              </wp:anchor>
            </w:drawing>
          </mc:Choice>
          <mc:Fallback>
            <w:pict>
              <v:shapetype id="3" path="m,l,21600r21600,l21600,xe"/>
              <v:shape xmlns:o="urn:schemas-microsoft-com:office:office" type="#3" id="docshape24" style="position:absolute;width:351.25pt;height:0.1pt;z-index:2;mso-wrap-distance-left:0pt;mso-wrap-distance-top:0pt;mso-wrap-distance-right:0pt;mso-wrap-distance-bottom:0pt;margin-left:129.4pt;margin-top:5.9pt;mso-position-horizontal:absolute;mso-position-horizontal-relative:page;mso-position-vertical:absolute;mso-position-vertical-relative:text" strokecolor="#000000" strokeweight="0pt" o:allowincell="t" o:allowoverlap="t">
                <v:textbox inset="3mm,1mm,3mm,1mm"/>
                <w10:wrap type="topAndBottom"/>
              </v:shape>
            </w:pict>
          </mc:Fallback>
        </mc:AlternateContent>
      </w: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pStyle w:val="P4"/>
        <w:rPr>
          <w:color w:val="000000"/>
          <w:sz w:val="16"/>
        </w:rPr>
      </w:pPr>
    </w:p>
    <w:p>
      <w:pPr>
        <w:tabs>
          <w:tab w:val="left" w:pos="978" w:leader="none"/>
          <w:tab w:val="left" w:pos="2229" w:leader="none"/>
          <w:tab w:val="left" w:pos="4465" w:leader="none"/>
        </w:tabs>
        <w:spacing w:before="4" w:beforeAutospacing="0" w:afterAutospacing="0"/>
        <w:ind w:right="37"/>
        <w:jc w:val="center"/>
        <w:rPr>
          <w:sz w:val="16"/>
        </w:rPr>
      </w:pPr>
      <w:r>
        <w:rPr>
          <w:sz w:val="16"/>
        </w:rPr>
        <w:t>On</w:t>
      </w:r>
      <w:r>
        <w:rPr>
          <w:sz w:val="16"/>
          <w:u w:val="single"/>
        </w:rPr>
        <w:tab/>
      </w:r>
      <w:r>
        <w:rPr>
          <w:sz w:val="16"/>
        </w:rPr>
        <w:t>[date], at</w:t>
      </w:r>
      <w:r>
        <w:rPr>
          <w:sz w:val="16"/>
          <w:u w:val="single"/>
        </w:rPr>
        <w:tab/>
      </w:r>
      <w:r>
        <w:rPr>
          <w:sz w:val="16"/>
        </w:rPr>
        <w:t>[time of day), I,</w:t>
      </w:r>
      <w:r>
        <w:rPr>
          <w:sz w:val="16"/>
          <w:u w:val="single"/>
        </w:rPr>
        <w:tab/>
        <w:t xml:space="preserve"> </w:t>
      </w:r>
    </w:p>
    <w:p>
      <w:pPr>
        <w:spacing w:before="15" w:beforeAutospacing="0" w:afterAutospacing="0"/>
        <w:ind w:left="107" w:right="37"/>
        <w:jc w:val="center"/>
        <w:rPr>
          <w:sz w:val="16"/>
        </w:rPr>
      </w:pPr>
      <w:r>
        <w:rPr>
          <w:sz w:val="16"/>
        </w:rPr>
        <w:t>[signature of pregnant woman], certify that I read and I understand the above disclosures on this page.</w:t>
      </w:r>
    </w:p>
    <w:p>
      <w:pPr>
        <w:ind w:left="97" w:right="37"/>
        <w:jc w:val="center"/>
        <w:rPr>
          <w:sz w:val="16"/>
        </w:rPr>
      </w:pPr>
      <w:r>
        <w:rPr>
          <w:sz w:val="16"/>
        </w:rPr>
        <w:t>Any clarifications, explanations, or answers to my questions were provided to me in writing to my satisfaction.</w:t>
      </w:r>
    </w:p>
    <w:p>
      <w:pPr>
        <w:pStyle w:val="P2"/>
        <w:jc w:val="center"/>
        <w:rPr>
          <w:sz w:val="16"/>
        </w:rPr>
      </w:pPr>
      <w:r>
        <w:rPr>
          <w:sz w:val="16"/>
        </w:rPr>
        <w:t xml:space="preserve">Page </w:t>
      </w:r>
      <w:r>
        <w:rPr>
          <w:sz w:val="16"/>
          <w:lang w:bidi="en-US"/>
        </w:rPr>
        <w:t>10</w:t>
      </w:r>
    </w:p>
    <w:p>
      <w:pPr>
        <w:pStyle w:val="P4"/>
        <w:rPr>
          <w:color w:val="000000"/>
          <w:sz w:val="16"/>
        </w:rPr>
      </w:pPr>
    </w:p>
    <w:p>
      <w:pPr>
        <w:pStyle w:val="P4"/>
        <w:rPr>
          <w:color w:val="000000"/>
          <w:sz w:val="16"/>
        </w:rPr>
      </w:pPr>
    </w:p>
    <w:p>
      <w:pPr>
        <w:tabs>
          <w:tab w:val="left" w:pos="2267" w:leader="none"/>
        </w:tabs>
        <w:spacing w:before="67" w:beforeAutospacing="0" w:afterAutospacing="0"/>
        <w:ind w:left="1547" w:right="1536"/>
        <w:rPr>
          <w:rFonts w:ascii="Arial" w:hAnsi="Arial"/>
          <w:color w:val="000000"/>
          <w:sz w:val="16"/>
        </w:rPr>
      </w:pPr>
      <w:r>
        <w:rPr>
          <w:rFonts w:ascii="Arial" w:hAnsi="Arial"/>
          <w:b w:val="1"/>
          <w:color w:val="000000"/>
          <w:sz w:val="16"/>
        </w:rPr>
        <w:t>1-j)</w:t>
        <w:tab/>
        <w:t>Sex-selective abortions</w:t>
      </w:r>
      <w:r>
        <w:rPr>
          <w:rFonts w:ascii="Arial" w:hAnsi="Arial"/>
          <w:color w:val="000000"/>
          <w:sz w:val="16"/>
        </w:rPr>
        <w:t>. Sex-selective abortions are illegal in the State of South Dakota and you as a pregnant mother cannot have an abortion, either solely or partly, due to the unborn child's sex, regardless of whether that unborn child is a girl or a boy or whether it is of your free will as the pregnant mother, or the result of the use of pressure and coercion.</w:t>
      </w:r>
    </w:p>
    <w:p>
      <w:pPr>
        <w:pStyle w:val="P4"/>
        <w:spacing w:before="10" w:beforeAutospacing="0" w:afterAutospacing="0"/>
        <w:rPr>
          <w:color w:val="000000"/>
          <w:sz w:val="16"/>
        </w:rPr>
      </w:pPr>
    </w:p>
    <w:p>
      <w:pPr>
        <w:tabs>
          <w:tab w:val="left" w:pos="2267" w:leader="none"/>
        </w:tabs>
        <w:spacing w:before="1" w:beforeAutospacing="0" w:afterAutospacing="0"/>
        <w:ind w:left="1547" w:right="1557"/>
        <w:rPr>
          <w:rFonts w:ascii="Arial" w:hAnsi="Arial"/>
          <w:color w:val="FF0000"/>
          <w:sz w:val="16"/>
        </w:rPr>
      </w:pPr>
      <w:r>
        <w:rPr>
          <w:rFonts w:ascii="Arial" w:hAnsi="Arial"/>
          <w:b w:val="1"/>
          <w:color w:val="000000"/>
          <w:sz w:val="16"/>
        </w:rPr>
        <w:t>1-k)</w:t>
        <w:tab/>
        <w:t>Sex Trafficking</w:t>
      </w:r>
      <w:r>
        <w:rPr>
          <w:rFonts w:ascii="Arial" w:hAnsi="Arial"/>
          <w:color w:val="000000"/>
          <w:sz w:val="16"/>
        </w:rPr>
        <w:t>. The abortion facility is required to provide the name, text, and telephone number of an organization fighting to end sex trafficking. By signing this document, you understand help is available and you have been provided the information above on how and where to get help.</w:t>
      </w:r>
    </w:p>
    <w:p>
      <w:pPr>
        <w:pStyle w:val="P4"/>
        <w:rPr>
          <w:sz w:val="16"/>
        </w:rPr>
      </w:pPr>
    </w:p>
    <w:p>
      <w:pPr>
        <w:pStyle w:val="P4"/>
        <w:rPr>
          <w:sz w:val="16"/>
        </w:rPr>
      </w:pPr>
    </w:p>
    <w:p>
      <w:pPr>
        <w:pStyle w:val="P4"/>
        <w:spacing w:before="10" w:beforeAutospacing="0" w:afterAutospacing="0"/>
        <w:rPr>
          <w:sz w:val="16"/>
        </w:rPr>
      </w:pPr>
    </w:p>
    <w:p>
      <w:pPr>
        <w:tabs>
          <w:tab w:val="left" w:pos="978" w:leader="none"/>
          <w:tab w:val="left" w:pos="2229" w:leader="none"/>
          <w:tab w:val="left" w:pos="4465" w:leader="none"/>
        </w:tabs>
        <w:spacing w:before="4" w:beforeAutospacing="0" w:afterAutospacing="0"/>
        <w:ind w:right="37"/>
        <w:jc w:val="center"/>
        <w:rPr>
          <w:rFonts w:ascii="Arial" w:hAnsi="Arial"/>
          <w:sz w:val="16"/>
        </w:rPr>
      </w:pPr>
      <w:r>
        <w:rPr>
          <w:rFonts w:ascii="Arial" w:hAnsi="Arial"/>
          <w:sz w:val="16"/>
        </w:rPr>
        <w:t>On</w:t>
      </w:r>
      <w:r>
        <w:rPr>
          <w:rFonts w:ascii="Arial" w:hAnsi="Arial"/>
          <w:sz w:val="16"/>
          <w:u w:val="single"/>
        </w:rPr>
        <w:tab/>
      </w:r>
      <w:r>
        <w:rPr>
          <w:rFonts w:ascii="Arial" w:hAnsi="Arial"/>
          <w:sz w:val="16"/>
        </w:rPr>
        <w:t>[date], at</w:t>
      </w:r>
      <w:r>
        <w:rPr>
          <w:rFonts w:ascii="Arial" w:hAnsi="Arial"/>
          <w:sz w:val="16"/>
          <w:u w:val="single"/>
        </w:rPr>
        <w:tab/>
      </w:r>
      <w:r>
        <w:rPr>
          <w:rFonts w:ascii="Arial" w:hAnsi="Arial"/>
          <w:sz w:val="16"/>
        </w:rPr>
        <w:t>[time of day), I,</w:t>
      </w:r>
      <w:r>
        <w:rPr>
          <w:rFonts w:ascii="Arial" w:hAnsi="Arial"/>
          <w:sz w:val="16"/>
          <w:u w:val="single"/>
        </w:rPr>
        <w:tab/>
        <w:t xml:space="preserve"> </w:t>
      </w:r>
    </w:p>
    <w:p>
      <w:pPr>
        <w:spacing w:before="15" w:beforeAutospacing="0" w:afterAutospacing="0"/>
        <w:ind w:left="107" w:right="37"/>
        <w:jc w:val="center"/>
        <w:rPr>
          <w:rFonts w:ascii="Arial" w:hAnsi="Arial"/>
          <w:sz w:val="16"/>
        </w:rPr>
      </w:pPr>
      <w:r>
        <w:rPr>
          <w:rFonts w:ascii="Arial" w:hAnsi="Arial"/>
          <w:sz w:val="16"/>
        </w:rPr>
        <w:t>[signature of pregnant woman], certify that I read and I understand the above disclosures in compliance with SDCL § 34-23A-10.1.</w:t>
      </w:r>
    </w:p>
    <w:p>
      <w:pPr>
        <w:ind w:left="97" w:right="37"/>
        <w:jc w:val="center"/>
        <w:rPr>
          <w:rFonts w:ascii="Arial" w:hAnsi="Arial"/>
          <w:sz w:val="16"/>
        </w:rPr>
      </w:pPr>
      <w:r>
        <w:rPr>
          <w:rFonts w:ascii="Arial" w:hAnsi="Arial"/>
          <w:sz w:val="16"/>
        </w:rPr>
        <w:t>Any clarifications, explanations, or answers to my questions were provided to me in writing to my satisfaction.</w:t>
      </w:r>
    </w:p>
    <w:p>
      <w:pPr>
        <w:pStyle w:val="P4"/>
        <w:spacing w:before="9" w:beforeAutospacing="0" w:afterAutospacing="0"/>
        <w:rPr>
          <w:sz w:val="16"/>
        </w:rPr>
      </w:pPr>
      <w:r>
        <w:rPr>
          <w:noProof w:val="1"/>
          <w:sz w:val="16"/>
        </w:rPr>
        <mc:AlternateContent>
          <mc:Choice Requires="wps">
            <w:drawing>
              <wp:anchor xmlns:wp="http://schemas.openxmlformats.org/drawingml/2006/wordprocessingDrawing" distT="0" distB="0" distL="0" distR="0" simplePos="0" relativeHeight="3" behindDoc="1" locked="0" layoutInCell="1" allowOverlap="1">
                <wp:simplePos x="0" y="0"/>
                <wp:positionH relativeFrom="page">
                  <wp:posOffset>807720</wp:posOffset>
                </wp:positionH>
                <wp:positionV relativeFrom="paragraph">
                  <wp:posOffset>235585</wp:posOffset>
                </wp:positionV>
                <wp:extent cx="6048375" cy="824865"/>
                <wp:effectExtent l="0" t="0" r="0" b="0"/>
                <wp:wrapTopAndBottom/>
                <wp:docPr id="19" name="docshape25"/>
                <wp:cNvGraphicFramePr/>
                <a:graphic xmlns:a="http://schemas.openxmlformats.org/drawingml/2006/main">
                  <a:graphicData uri="http://schemas.microsoft.com/office/word/2010/wordprocessingShape">
                    <wps:wsp>
                      <wps:cNvSpPr txBox="1"/>
                      <wps:spPr>
                        <a:xfrm>
                          <a:off x="0" y="0"/>
                          <a:ext cx="6048375" cy="824865"/>
                        </a:xfrm>
                        <a:prstGeom prst="rect"/>
                        <a:noFill/>
                        <a:ln w="5715" cmpd="sng">
                          <a:solidFill>
                            <a:srgbClr val="000000"/>
                          </a:solidFill>
                          <a:prstDash val="solid"/>
                          <a:roun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txbx>
                        <w:txbxContent>
                          <w:p>
                            <w:pPr>
                              <w:pStyle w:val="P4"/>
                              <w:spacing w:before="2" w:beforeAutospacing="0" w:afterAutospacing="0"/>
                              <w:rPr>
                                <w:sz w:val="16"/>
                              </w:rPr>
                            </w:pPr>
                          </w:p>
                          <w:p>
                            <w:pPr>
                              <w:tabs>
                                <w:tab w:val="left" w:pos="3133" w:leader="none"/>
                              </w:tabs>
                              <w:ind w:firstLine="6" w:left="148" w:right="394"/>
                              <w:jc w:val="center"/>
                              <w:rPr>
                                <w:rFonts w:ascii="Arial" w:hAnsi="Arial"/>
                                <w:sz w:val="16"/>
                              </w:rPr>
                            </w:pPr>
                            <w:r>
                              <w:rPr>
                                <w:rFonts w:ascii="Arial" w:hAnsi="Arial"/>
                                <w:sz w:val="16"/>
                              </w:rPr>
                              <w:t>I,</w:t>
                            </w:r>
                            <w:r>
                              <w:rPr>
                                <w:rFonts w:ascii="Arial" w:hAnsi="Arial"/>
                                <w:sz w:val="16"/>
                                <w:u w:val="single"/>
                              </w:rPr>
                              <w:tab/>
                            </w:r>
                            <w:r>
                              <w:rPr>
                                <w:rFonts w:ascii="Arial" w:hAnsi="Arial"/>
                                <w:sz w:val="16"/>
                              </w:rPr>
                              <w:t>(physician), certify that all of the information set forth in SDCL 34-23A-10.1(1) has been timely provided to the above patient as directed by statute, and that to the best of my ability, I am satisfied that the patient has read and understands all the materials required to be disclosed.</w:t>
                            </w:r>
                          </w:p>
                          <w:p>
                            <w:pPr>
                              <w:pStyle w:val="P4"/>
                              <w:spacing w:before="10" w:beforeAutospacing="0" w:afterAutospacing="0"/>
                            </w:pPr>
                          </w:p>
                          <w:p>
                            <w:pPr>
                              <w:tabs>
                                <w:tab w:val="left" w:pos="3290" w:leader="none"/>
                                <w:tab w:val="left" w:pos="5034" w:leader="none"/>
                                <w:tab w:val="left" w:pos="6608" w:leader="none"/>
                              </w:tabs>
                              <w:ind w:right="243"/>
                              <w:jc w:val="center"/>
                              <w:rPr>
                                <w:rFonts w:ascii="Arial" w:hAnsi="Arial"/>
                                <w:sz w:val="16"/>
                              </w:rPr>
                            </w:pPr>
                            <w:r>
                              <w:rPr>
                                <w:rFonts w:ascii="Arial" w:hAnsi="Arial"/>
                                <w:sz w:val="16"/>
                                <w:u w:val="single"/>
                              </w:rPr>
                              <w:t xml:space="preserve"> </w:t>
                              <w:tab/>
                            </w:r>
                            <w:r>
                              <w:rPr>
                                <w:rFonts w:ascii="Arial" w:hAnsi="Arial"/>
                                <w:sz w:val="16"/>
                              </w:rPr>
                              <w:t>(signature)</w:t>
                            </w:r>
                            <w:r>
                              <w:rPr>
                                <w:rFonts w:ascii="Arial" w:hAnsi="Arial"/>
                                <w:sz w:val="16"/>
                                <w:u w:val="single"/>
                              </w:rPr>
                              <w:tab/>
                            </w:r>
                            <w:r>
                              <w:rPr>
                                <w:rFonts w:ascii="Arial" w:hAnsi="Arial"/>
                                <w:sz w:val="16"/>
                              </w:rPr>
                              <w:t>(date)</w:t>
                            </w:r>
                            <w:r>
                              <w:rPr>
                                <w:rFonts w:ascii="Arial" w:hAnsi="Arial"/>
                                <w:sz w:val="16"/>
                                <w:u w:val="single"/>
                              </w:rPr>
                              <w:tab/>
                            </w:r>
                            <w:r>
                              <w:rPr>
                                <w:rFonts w:ascii="Arial" w:hAnsi="Arial"/>
                                <w:sz w:val="16"/>
                              </w:rPr>
                              <w:t>(time)</w:t>
                            </w:r>
                          </w:p>
                        </w:txbxContent>
                      </wps:txbx>
                      <wps:bodyPr lIns="0" tIns="0" rIns="0" bIns="0" upright="1">
                        <a:noAutofit/>
                      </wps:bodyPr>
                    </wps:wsp>
                  </a:graphicData>
                </a:graphic>
              </wp:anchor>
            </w:drawing>
          </mc:Choice>
          <mc:Fallback>
            <w:pict>
              <v:shapetype id="4" path="m,l,21600r21600,l21600,xe"/>
              <v:shape xmlns:o="urn:schemas-microsoft-com:office:office" type="#4" id="docshape25" style="position:absolute;width:476.25pt;height:64.95pt;z-index:3;mso-wrap-distance-left:0pt;mso-wrap-distance-top:0pt;mso-wrap-distance-right:0pt;mso-wrap-distance-bottom:0pt;margin-left:63.6pt;margin-top:18.55pt;mso-position-horizontal:absolute;mso-position-horizontal-relative:page;mso-position-vertical:absolute;mso-position-vertical-relative:text" strokecolor="#000000" strokeweight="0pt" o:allowincell="t" o:allowoverlap="t">
                <v:textbox inset="0mm,0mm,0mm,0mm">
                  <w:txbxContent>
                    <w:p>
                      <w:pPr>
                        <w:pStyle w:val="P4"/>
                        <w:spacing w:before="2" w:beforeAutospacing="0" w:afterAutospacing="0"/>
                        <w:rPr>
                          <w:sz w:val="16"/>
                        </w:rPr>
                      </w:pPr>
                    </w:p>
                    <w:p>
                      <w:pPr>
                        <w:tabs>
                          <w:tab w:val="left" w:pos="3133" w:leader="none"/>
                        </w:tabs>
                        <w:ind w:firstLine="6" w:left="148" w:right="394"/>
                        <w:jc w:val="center"/>
                        <w:rPr>
                          <w:rFonts w:ascii="Arial" w:hAnsi="Arial"/>
                          <w:sz w:val="16"/>
                        </w:rPr>
                      </w:pPr>
                      <w:r>
                        <w:rPr>
                          <w:rFonts w:ascii="Arial" w:hAnsi="Arial"/>
                          <w:sz w:val="16"/>
                        </w:rPr>
                        <w:t>I,</w:t>
                      </w:r>
                      <w:r>
                        <w:rPr>
                          <w:rFonts w:ascii="Arial" w:hAnsi="Arial"/>
                          <w:sz w:val="16"/>
                          <w:u w:val="single"/>
                        </w:rPr>
                        <w:tab/>
                      </w:r>
                      <w:r>
                        <w:rPr>
                          <w:rFonts w:ascii="Arial" w:hAnsi="Arial"/>
                          <w:sz w:val="16"/>
                        </w:rPr>
                        <w:t>(physician), certify that all of the information set forth in SDCL 34-23A-10.1(1) has been timely provided to the above patient as directed by statute, and that to the best of my ability, I am satisfied that the patient has read and understands all the materials required to be disclosed.</w:t>
                      </w:r>
                    </w:p>
                    <w:p>
                      <w:pPr>
                        <w:pStyle w:val="P4"/>
                        <w:spacing w:before="10" w:beforeAutospacing="0" w:afterAutospacing="0"/>
                      </w:pPr>
                    </w:p>
                    <w:p>
                      <w:pPr>
                        <w:tabs>
                          <w:tab w:val="left" w:pos="3290" w:leader="none"/>
                          <w:tab w:val="left" w:pos="5034" w:leader="none"/>
                          <w:tab w:val="left" w:pos="6608" w:leader="none"/>
                        </w:tabs>
                        <w:ind w:right="243"/>
                        <w:jc w:val="center"/>
                        <w:rPr>
                          <w:rFonts w:ascii="Arial" w:hAnsi="Arial"/>
                          <w:sz w:val="16"/>
                        </w:rPr>
                      </w:pPr>
                      <w:r>
                        <w:rPr>
                          <w:rFonts w:ascii="Arial" w:hAnsi="Arial"/>
                          <w:sz w:val="16"/>
                          <w:u w:val="single"/>
                        </w:rPr>
                        <w:t xml:space="preserve"> </w:t>
                        <w:tab/>
                      </w:r>
                      <w:r>
                        <w:rPr>
                          <w:rFonts w:ascii="Arial" w:hAnsi="Arial"/>
                          <w:sz w:val="16"/>
                        </w:rPr>
                        <w:t>(signature)</w:t>
                      </w:r>
                      <w:r>
                        <w:rPr>
                          <w:rFonts w:ascii="Arial" w:hAnsi="Arial"/>
                          <w:sz w:val="16"/>
                          <w:u w:val="single"/>
                        </w:rPr>
                        <w:tab/>
                      </w:r>
                      <w:r>
                        <w:rPr>
                          <w:rFonts w:ascii="Arial" w:hAnsi="Arial"/>
                          <w:sz w:val="16"/>
                        </w:rPr>
                        <w:t>(date)</w:t>
                      </w:r>
                      <w:r>
                        <w:rPr>
                          <w:rFonts w:ascii="Arial" w:hAnsi="Arial"/>
                          <w:sz w:val="16"/>
                          <w:u w:val="single"/>
                        </w:rPr>
                        <w:tab/>
                      </w:r>
                      <w:r>
                        <w:rPr>
                          <w:rFonts w:ascii="Arial" w:hAnsi="Arial"/>
                          <w:sz w:val="16"/>
                        </w:rPr>
                        <w:t>(time)</w:t>
                      </w:r>
                    </w:p>
                  </w:txbxContent>
                </v:textbox>
                <w10:wrap type="topAndBottom"/>
              </v:shape>
            </w:pict>
          </mc:Fallback>
        </mc:AlternateContent>
      </w:r>
    </w:p>
    <w:p>
      <w:pPr>
        <w:pStyle w:val="P4"/>
        <w:rPr>
          <w:color w:val="000000"/>
          <w:sz w:val="16"/>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44:67:05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44:67:05:01</w:t>
        <w:tab/>
        <w:tab/>
        <w:t>Submittal of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44:67:05:02</w:t>
        <w:tab/>
        <w:tab/>
        <w:t>Procedure rooms and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44:67:05:03</w:t>
        <w:tab/>
        <w:tab/>
        <w:t>Recovery rooms and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44:67:05:01.  Submittal of plans.</w:t>
      </w:r>
      <w:r>
        <w:t xml:space="preserve"> No construction may begin until plans and specifications covering the construction of new buildings and additions or material alterations to existing buildings are approved by the department. A written narrative describing the intended use of the proposed construction must accompany the plans and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34-23A-51(1),(3),(5),(9).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44:67:05:02.  Procedure rooms and services.</w:t>
      </w:r>
      <w:r>
        <w:t xml:space="preserve"> Each abortion facility shall be designed and equipped for the types of abortion procedures to be performed.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Procedure rooms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minimum area of 115 square feet (10.8 square 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Equipped with a vinyl floor 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work station and handwashing sink. Handwashing facilities must be equipped with hands-free controls and have a water supply spout mounted so that the discharge is a minimum five inches above the rim of the fixture;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Adequate lighting with protective covers to prevent lamps from shattering;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Battery operated emergency 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Procedure services shall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Provisions for immediate post-procedure care;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Emergency drugs and supplies specified by the medical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44:67:05:03.  Recovery rooms and services.</w:t>
      </w:r>
      <w:r>
        <w:t xml:space="preserve"> Each abortion facility shall be designed and equipped for the types of abortion procedures to be performed.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Recovery rooms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minimum area of 45 square feet in each recovery station;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Privacy curtains surrounding each recovery station;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work station and handwashing sink. Handwashing facilities shall be equipped with hand-free controls and have a water supply spout mounted so that the discharge is a minimum of five inches above the rim of the fixture;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Adequate lighting with protective covers to prevent lamps from shattering;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An emergency call system to summon staff;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Battery operated emergency 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Recovery services shall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Provisions for immediate post-procedure care;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Emergency drugs and supplies specified by the medical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34-23A-51.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34-23A-51(5).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2"/>
      <w:ind w:right="360"/>
    </w:pPr>
    <w:r>
      <w:t xml:space="preserve">Revised through </w:t>
    </w:r>
    <w:r>
      <w:t xml:space="preserve">January </w:t>
    </w:r>
    <w:r>
      <w:rPr>
        <w:lang w:val="en-US" w:bidi="en-US" w:eastAsia="en-US"/>
      </w:rPr>
      <w:t>27</w:t>
    </w:r>
    <w:r>
      <w:t>,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ABORTION FACILITIES</w:t>
      <w:tab/>
      <w:tab/>
      <w:t>44:67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Cs w:val="20"/>
    </w:rPr>
  </w:style>
  <w:style w:type="paragraph" w:styleId="P4">
    <w:name w:val="Body Text"/>
    <w:basedOn w:val="P0"/>
    <w:link w:val="C6"/>
    <w:pPr>
      <w:widowControl w:val="0"/>
      <w:jc w:val="left"/>
    </w:pPr>
    <w:rPr>
      <w:rFonts w:ascii="Arial" w:hAnsi="Arial"/>
      <w:sz w:val="15"/>
      <w:szCs w:val="20"/>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szCs w:val="20"/>
    </w:rPr>
  </w:style>
  <w:style w:type="character" w:styleId="C6">
    <w:name w:val="Body Text Char"/>
    <w:basedOn w:val="C0"/>
    <w:link w:val="P4"/>
    <w:rPr>
      <w:rFonts w:ascii="Arial" w:hAnsi="Arial"/>
      <w:sz w:val="15"/>
      <w:szCs w:val="20"/>
    </w:rPr>
  </w:style>
  <w:style w:type="character" w:styleId="C7">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image1" Type="http://schemas.openxmlformats.org/officeDocument/2006/relationships/image" Target="/media/image1.png" /><Relationship Id="Relimage2" Type="http://schemas.openxmlformats.org/officeDocument/2006/relationships/image" Target="/media/image2.png" /><Relationship Id="Relimage3" Type="http://schemas.openxmlformats.org/officeDocument/2006/relationships/image" Target="/media/image3.png" /><Relationship Id="Relimage4" Type="http://schemas.openxmlformats.org/officeDocument/2006/relationships/image" Target="/media/image4.png" /><Relationship Id="Relimage5" Type="http://schemas.openxmlformats.org/officeDocument/2006/relationships/image" Target="/media/image5.png" /><Relationship Id="Relimage6" Type="http://schemas.openxmlformats.org/officeDocument/2006/relationships/image" Target="/media/image6.png" /><Relationship Id="Relimage7" Type="http://schemas.openxmlformats.org/officeDocument/2006/relationships/image" Target="/media/image7.png" /><Relationship Id="Relimage8" Type="http://schemas.openxmlformats.org/officeDocument/2006/relationships/image" Target="/media/image8.png" /><Relationship Id="R2" Type="http://schemas.openxmlformats.org/officeDocument/2006/relationships/hyperlink" Target="http://www.hhs/cms/clia" TargetMode="External" /><Relationship Id="R3" Type="http://schemas.openxmlformats.org/officeDocument/2006/relationships/hyperlink" Target="http://doh.sd.gov/abortion/"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2022-01-18T20:10:00Z</dcterms:created>
  <cp:lastModifiedBy>Kelly Thompson</cp:lastModifiedBy>
  <dcterms:modified xsi:type="dcterms:W3CDTF">2022-01-18T20:12:24Z</dcterms:modified>
  <cp:revision>2</cp:revision>
</cp:coreProperties>
</file>