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9397A">
        <w:rPr>
          <w:rFonts w:ascii="Times New Roman" w:hAnsi="Times New Roman"/>
          <w:b/>
          <w:sz w:val="24"/>
        </w:rPr>
        <w:t>12:80:03:01.  Assessment refund application forms.</w:t>
      </w:r>
      <w:r>
        <w:rPr>
          <w:rFonts w:ascii="Times New Roman" w:hAnsi="Times New Roman"/>
          <w:sz w:val="24"/>
        </w:rPr>
        <w:t xml:space="preserve"> The applicant for a refund of an assessment on pulse crops shall be on a form provided by the council and shall contain the following information: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date of the assessment refund application;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name, address, and signature of the grower who paid the assessment;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net market value of pulse crop purchased for which an assessment was collected;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total dollar amount of the assessment collected;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name and address of the first purchaser;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date or dates of the purchase;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signature of the grower; and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refund application must have check stubs or assembly sheets attached as proof of sale.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Refund application forms may be obtained from the council by the refund applicant by applying to the council in writing or in person.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38-34-18.</w:t>
      </w:r>
    </w:p>
    <w:p w:rsidR="00ED08D3" w:rsidRDefault="00ED08D3" w:rsidP="00E472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08D3" w:rsidSect="00ED08D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397A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02D7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472EC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D08D3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72E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143</Words>
  <Characters>818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2007-01-04T14:34:00Z</dcterms:created>
  <dcterms:modified xsi:type="dcterms:W3CDTF">2007-02-21T17:31:00Z</dcterms:modified>
</cp:coreProperties>
</file>