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794EE9A0"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2:06:02:04.  Frequency and time period of testing.</w:t>
      </w:r>
      <w:r>
        <w:rPr>
          <w:rFonts w:ascii="Times New Roman" w:hAnsi="Times New Roman"/>
          <w:sz w:val="24"/>
        </w:rPr>
        <w:t xml:space="preserve"> A participant placed on a 24/7 Sobriety Program shall submit to tests at the participating agency's premises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Twice-a-day testing shall be conducted for the time period ordered or directed by the court, the Board of Pardons and Parole, the Department of Corrections, the Department of Public Safety, or a parole agent;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Urinalysis testing shall be conducted as ordered or directed by the court, the Board of Pardons and Parole, the Department of Corrections, the Department of Public Safety, or a parole agent, for the time period ordered or directed;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Drug patch testing shall be utilized as ordered or directed by the court, the Board of Pardons and Parole, the Department of Corrections, the Department of Public Safety, or a parole agent, for the time period ordered or directed;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Electronic alcohol monitoring device testing shall be utilized if ordered or directed by the court, the Board of Pardons and Parole, the Department of Corrections, the Department of Public Safety, or a parole agent, for the time period ordered or directed, based upon availability of the device and if it is determined that the participant is capable of wearing the electronic alcohol monitoring device;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  Ignition interlock testing shall be utilized if ordered or directed by the court, the Board of Pardons and Parole, the Department of Corrections, the Department of Public Safety, or a parole agent, for the time period ordered or directed, based upon availability of the device from a vendor for attachment, and the participant's possession of a valid driver's license or work permit and proof of financial responsibility</w:t>
      </w:r>
      <w:r>
        <w:rPr>
          <w:rFonts w:ascii="Times New Roman" w:hAnsi="Times New Roman"/>
          <w:sz w:val="24"/>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w:t>
      </w:r>
      <w:r>
        <w:rPr>
          <w:rFonts w:ascii="Times New Roman" w:hAnsi="Times New Roman"/>
          <w:sz w:val="24"/>
          <w:lang w:val="en-US" w:bidi="en-US" w:eastAsia="en-US"/>
        </w:rPr>
        <w:t>  </w:t>
      </w:r>
      <w:r>
        <w:rPr>
          <w:rFonts w:ascii="Times New Roman" w:hAnsi="Times New Roman"/>
          <w:sz w:val="24"/>
        </w:rPr>
        <w:t>Mobile breath alcohol testing shall be utilized if ordered or directed by the court, the Board of Pardons and Parole, the Department of Corrections, the Department of Public Safety, or a parole agent, for the time ordered or directed, based on the availability of the device for use by the participant</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33 SDR 226, effective July 1, 2007; 37 SDR 236, effective July 1, 2011</w:t>
      </w:r>
      <w:r>
        <w:rPr>
          <w:rFonts w:ascii="Times New Roman" w:hAnsi="Times New Roman"/>
          <w:sz w:val="24"/>
          <w:lang w:val="en-US" w:bidi="en-US" w:eastAsia="en-US"/>
        </w:rPr>
        <w:t xml:space="preserve">; SL 2017, ch 3, </w:t>
      </w:r>
      <w:r>
        <w:rPr>
          <w:rFonts w:ascii="Times New Roman" w:hAnsi="Times New Roman"/>
          <w:sz w:val="24"/>
          <w:lang w:val="en-US" w:bidi="en-US" w:eastAsia="en-US"/>
        </w:rPr>
        <w:t>§</w:t>
      </w:r>
      <w:r>
        <w:rPr>
          <w:rFonts w:ascii="Times New Roman" w:hAnsi="Times New Roman"/>
          <w:sz w:val="24"/>
          <w:lang w:val="en-US" w:bidi="en-US" w:eastAsia="en-US"/>
        </w:rPr>
        <w:t>  9, effective July 1, 2017</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1-11-24.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1-11-24(1) and (2), 32-23-23.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