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14"/>
          <w:attr w:name="Hour" w:val="15"/>
        </w:smartTagPr>
        <w:r w:rsidRPr="00584200">
          <w:rPr>
            <w:rFonts w:ascii="Times New Roman" w:hAnsi="Times New Roman"/>
            <w:b/>
            <w:sz w:val="24"/>
          </w:rPr>
          <w:t>03:1</w:t>
        </w:r>
        <w:r>
          <w:rPr>
            <w:rFonts w:ascii="Times New Roman" w:hAnsi="Times New Roman"/>
            <w:b/>
            <w:sz w:val="24"/>
          </w:rPr>
          <w:t>4</w:t>
        </w:r>
      </w:smartTag>
      <w:r w:rsidRPr="00584200">
        <w:rPr>
          <w:rFonts w:ascii="Times New Roman" w:hAnsi="Times New Roman"/>
          <w:b/>
          <w:sz w:val="24"/>
        </w:rPr>
        <w:t>:03.  Prize pool.</w:t>
      </w:r>
      <w:r>
        <w:rPr>
          <w:rFonts w:ascii="Times New Roman" w:hAnsi="Times New Roman"/>
          <w:sz w:val="24"/>
        </w:rPr>
        <w:t xml:space="preserve"> The prize pool for all prize categories shall have a total value that is equal to or exceeds fifty percent of the sales for each raffle game.</w:t>
      </w:r>
    </w:p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67, effective </w:t>
      </w:r>
      <w:smartTag w:uri="urn:schemas-microsoft-com:office:smarttags" w:element="date">
        <w:smartTagPr>
          <w:attr w:name="Year" w:val="2007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2007</w:t>
        </w:r>
      </w:smartTag>
      <w:r>
        <w:rPr>
          <w:rFonts w:ascii="Times New Roman" w:hAnsi="Times New Roman"/>
          <w:sz w:val="24"/>
        </w:rPr>
        <w:t>.</w:t>
      </w:r>
    </w:p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42-7A-21(3).</w:t>
      </w:r>
    </w:p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42-7A-9,  42-7A-21(3), 42-7A-23.</w:t>
      </w:r>
    </w:p>
    <w:p w:rsidR="00A60D72" w:rsidRDefault="00A60D72" w:rsidP="00DB7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0D72" w:rsidSect="00A60D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4200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0D72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B78D7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8D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2007-08-29T14:08:00Z</dcterms:created>
  <dcterms:modified xsi:type="dcterms:W3CDTF">2007-08-29T14:09:00Z</dcterms:modified>
</cp:coreProperties>
</file>