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228182B3"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val="1"/>
          <w:sz w:val="24"/>
        </w:rPr>
        <w:t>67:16:02:01.01.  Fee schedules for physician services.</w:t>
      </w:r>
      <w:r>
        <w:rPr>
          <w:rFonts w:ascii="Times New Roman" w:hAnsi="Times New Roman"/>
          <w:sz w:val="24"/>
        </w:rPr>
        <w:t xml:space="preserve"> Fee schedules for services provided under this chapter are available on the department's fee schedule website. When computing the rate of reimbursement for physician services, the department uses the following </w:t>
      </w:r>
      <w:r>
        <w:rPr>
          <w:rFonts w:ascii="Times New Roman" w:hAnsi="Times New Roman"/>
          <w:sz w:val="24"/>
        </w:rPr>
        <w:t>fee schedules: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Nonlaboratory fee schedule;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Laboratory fee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The fee schedules are subject to review and amendment by the department. A provider may request that the department review a particular reimbursement rate for possible adjustment or request the inclusion or exclusion of a particular code from the list. When reviewing the requests, the department shall review paid claims information, Medicare fee schedules, national coding lists, and documentation submitted by the provider or the associated medical professional organization to determine whether a change is warranted.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34 SDR 68, effective September 12, 2007; 42 SDR 51, effective October 13, 2015</w:t>
      </w:r>
      <w:r>
        <w:rPr>
          <w:rFonts w:ascii="Times New Roman" w:hAnsi="Times New Roman"/>
          <w:sz w:val="24"/>
        </w:rPr>
        <w:t>; 44 SDR 94, effective December 4, 2017</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28-6-1</w:t>
      </w:r>
      <w:r>
        <w:rPr>
          <w:rFonts w:ascii="Times New Roman" w:hAnsi="Times New Roman"/>
          <w:sz w:val="24"/>
          <w:lang w:val="en-US" w:bidi="en-US" w:eastAsia="en-US"/>
        </w:rPr>
        <w:t>(1)(2)</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28-6-1</w:t>
      </w:r>
      <w:r>
        <w:rPr>
          <w:rFonts w:ascii="Times New Roman" w:hAnsi="Times New Roman"/>
          <w:sz w:val="24"/>
          <w:lang w:val="en-US" w:bidi="en-US" w:eastAsia="en-US"/>
        </w:rPr>
        <w:t>(1)(2)</w:t>
      </w:r>
      <w:r>
        <w:rPr>
          <w:rFonts w:ascii="Times New Roman" w:hAnsi="Times New Roman"/>
          <w:sz w:val="24"/>
        </w:rPr>
        <w:t>, 28-6-1.1.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