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4F5CAAD5" Type="http://schemas.openxmlformats.org/officeDocument/2006/relationships/officeDocument" Target="/word/document.xml" /><Relationship Id="coreR4F5CAAD5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41:10:02:19.  Endangered species permit exemption.</w:t>
      </w:r>
      <w:r>
        <w:t xml:space="preserve"> A state endangered species permit is not required for possession of legally acquired or legally taken raptors</w:t>
      </w:r>
      <w:r>
        <w:t xml:space="preserve"> other than a bald eagle</w:t>
      </w:r>
      <w:r>
        <w:rPr>
          <w:lang w:val="en-US" w:bidi="en-US" w:eastAsia="en-US"/>
        </w:rPr>
        <w:t>,</w:t>
      </w:r>
      <w:r>
        <w:t xml:space="preserve"> (Haliaeetus leucocephalus)</w:t>
      </w:r>
      <w:r>
        <w:rPr>
          <w:lang w:val="en-US" w:bidi="en-US" w:eastAsia="en-US"/>
        </w:rPr>
        <w:t>,</w:t>
      </w:r>
      <w:r>
        <w:t xml:space="preserve"> or any of their progeny.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34 SDR 279, effective May 14, 2008</w:t>
      </w:r>
      <w:r>
        <w:rPr>
          <w:rFonts w:ascii="Times New Roman" w:hAnsi="Times New Roman"/>
          <w:sz w:val="24"/>
        </w:rPr>
        <w:t>; 47 SDR 27, effective September 15,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34A-8-8, 34A-8-10, 41-2-18(2)(3)(20), 41-11-2.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34A-8-8, 34A-8-10, 41-2-18(2)(3)(20), 41-11-2.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2008-05-13T19:31:00Z</dcterms:created>
  <cp:lastModifiedBy>Rhonda Purkapile</cp:lastModifiedBy>
  <dcterms:modified xsi:type="dcterms:W3CDTF">2020-09-14T14:25:28Z</dcterms:modified>
  <cp:revision>4</cp:revision>
</cp:coreProperties>
</file>