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E6FA0">
        <w:rPr>
          <w:rFonts w:ascii="Times New Roman" w:hAnsi="Times New Roman"/>
          <w:b/>
          <w:sz w:val="24"/>
        </w:rPr>
        <w:t>44:</w:t>
      </w:r>
      <w:smartTag w:uri="urn:schemas-microsoft-com:office:smarttags" w:element="time">
        <w:smartTagPr>
          <w:attr w:name="Minute" w:val="8"/>
          <w:attr w:name="Hour" w:val="14"/>
        </w:smartTagPr>
        <w:r w:rsidRPr="00CE6FA0">
          <w:rPr>
            <w:rFonts w:ascii="Times New Roman" w:hAnsi="Times New Roman"/>
            <w:b/>
            <w:sz w:val="24"/>
          </w:rPr>
          <w:t>02:08</w:t>
        </w:r>
      </w:smartTag>
      <w:r w:rsidRPr="00CE6FA0">
        <w:rPr>
          <w:rFonts w:ascii="Times New Roman" w:hAnsi="Times New Roman"/>
          <w:b/>
          <w:sz w:val="24"/>
        </w:rPr>
        <w:t>:13.  Water recreation facilities.</w:t>
      </w:r>
      <w:r>
        <w:rPr>
          <w:rFonts w:ascii="Times New Roman" w:hAnsi="Times New Roman"/>
          <w:sz w:val="24"/>
        </w:rPr>
        <w:t xml:space="preserve"> All water recreation facilities, including swimming pools, spas, and water slides operated by a vacation home establishment and used by guests or the public, must be designed, constructed, and maintained using the "Recommended Standards for Swimming Pool Design and Operation," 1996 edition.</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owner or operator of a swimming pool, spa, or other water recreational facility shall collect and submit at least one water sample every two weeks for each swimming pool, spa, or other water recreational facility while in use under the owner's or operator's control to an EPA-certified laboratory for bacteriological analysis. The owner or operator shall report any unsafe water sample test results to the department within three days after receipt of such test results. Upon the receipt of a positive water sample the owner or operator of the facility shall submit two consecutive negative samples to the department to confirm treatment procedures have eliminated the contamination. If a resample test is positive, the facility shall close the affected water recreational facility and submit two consecutive negative samples prior to allowing guest use of affected water recreational facility. A colorimetric test kit is required for the monitoring and adjusting of disinfectant levels and pH in a swimming pool, spa, or other water recreational facilities. A weekly log of disinfectant levels and pH must be maintained by the owner or operator of the facility while the facility is being rented out to the public.</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Source:</w:t>
      </w:r>
      <w:r>
        <w:rPr>
          <w:rFonts w:ascii="Times New Roman" w:hAnsi="Times New Roman"/>
          <w:sz w:val="24"/>
        </w:rPr>
        <w:t xml:space="preserve"> 34 SDR 321, effective June 30, 2008; 36 SDR 96, effective December 8, 2009.</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General Authority:</w:t>
      </w:r>
      <w:r>
        <w:rPr>
          <w:rFonts w:ascii="Times New Roman" w:hAnsi="Times New Roman"/>
          <w:sz w:val="24"/>
        </w:rPr>
        <w:t xml:space="preserve"> SDCL 34-1-17, 34-18-22.</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CD693E">
        <w:rPr>
          <w:rFonts w:ascii="Times New Roman" w:hAnsi="Times New Roman"/>
          <w:b/>
          <w:sz w:val="24"/>
        </w:rPr>
        <w:t>Law Implemented:</w:t>
      </w:r>
      <w:r>
        <w:rPr>
          <w:rFonts w:ascii="Times New Roman" w:hAnsi="Times New Roman"/>
          <w:sz w:val="24"/>
        </w:rPr>
        <w:t xml:space="preserve"> SDCL 34-18-22, 34-18-24.</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04DE4">
        <w:rPr>
          <w:rFonts w:ascii="Times New Roman" w:hAnsi="Times New Roman"/>
          <w:b/>
          <w:sz w:val="24"/>
        </w:rPr>
        <w:t>Reference:</w:t>
      </w:r>
      <w:r>
        <w:rPr>
          <w:rFonts w:ascii="Times New Roman" w:hAnsi="Times New Roman"/>
          <w:sz w:val="24"/>
        </w:rPr>
        <w:t xml:space="preserve"> "Recommended Standards for Swimming Pool Design and Operation," 1996 edition, Great Lakes-Upper Mississippi River Board of State and Provincial Public Health and Environmental Managers Sanitary Engineers. Copies are available at no cost from the Office of Health Protection, South Dakota Health Department, 615 East 4</w:t>
      </w:r>
      <w:r w:rsidRPr="00F755DD">
        <w:rPr>
          <w:rFonts w:ascii="Times New Roman" w:hAnsi="Times New Roman"/>
          <w:sz w:val="24"/>
          <w:vertAlign w:val="superscript"/>
        </w:rPr>
        <w:t>th</w:t>
      </w:r>
      <w:r>
        <w:rPr>
          <w:rFonts w:ascii="Times New Roman" w:hAnsi="Times New Roman"/>
          <w:sz w:val="24"/>
        </w:rPr>
        <w:t xml:space="preserve"> Street, Pierre, SD 57501</w:t>
      </w:r>
    </w:p>
    <w:p w:rsidR="007C6D30" w:rsidRDefault="007C6D30" w:rsidP="006917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C6D30"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9178E"/>
    <w:rsid w:val="003971CC"/>
    <w:rsid w:val="00404DE4"/>
    <w:rsid w:val="0069178E"/>
    <w:rsid w:val="007C6D30"/>
    <w:rsid w:val="00CA70E5"/>
    <w:rsid w:val="00CD693E"/>
    <w:rsid w:val="00CE6FA0"/>
    <w:rsid w:val="00E23963"/>
    <w:rsid w:val="00F755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178E"/>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311</Words>
  <Characters>1779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2009-11-24T16:27:00Z</dcterms:created>
  <dcterms:modified xsi:type="dcterms:W3CDTF">2009-11-24T16:28:00Z</dcterms:modified>
</cp:coreProperties>
</file>