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354DED" Type="http://schemas.openxmlformats.org/officeDocument/2006/relationships/officeDocument" Target="/word/document.xml" /><Relationship Id="coreR47354DE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20:41:15:11.  Board action in general.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</w:t>
      </w:r>
      <w:r>
        <w:rPr>
          <w:rFonts w:ascii="Times New Roman" w:hAnsi="Times New Roman"/>
          <w:sz w:val="24"/>
          <w:lang w:val="en-US" w:bidi="en-US" w:eastAsia="en-US"/>
        </w:rPr>
        <w:t>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35 SDR 47, effective September 8, 2008</w:t>
      </w:r>
      <w:r>
        <w:rPr>
          <w:rFonts w:ascii="Times New Roman" w:hAnsi="Times New Roman"/>
          <w:sz w:val="24"/>
        </w:rPr>
        <w:t>; 47 SDR 41, effective October 12,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2008-09-03T20:31:00Z</dcterms:created>
  <cp:lastModifiedBy>Rhonda Purkapile</cp:lastModifiedBy>
  <dcterms:modified xsi:type="dcterms:W3CDTF">2020-09-30T21:12:25Z</dcterms:modified>
  <cp:revision>3</cp:revision>
</cp:coreProperties>
</file>