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>64:17:01:02.  Form required for notice to county treasurer of abandoned mobile/manufactured home.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Repealed</w:t>
      </w:r>
      <w:r>
        <w:rPr>
          <w:rFonts w:ascii="Times New Roman" w:hAnsi="Times New Roman"/>
          <w:sz w:val="24"/>
          <w:szCs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>Source:</w:t>
      </w:r>
      <w:r>
        <w:rPr>
          <w:rFonts w:ascii="Times New Roman" w:hAnsi="Times New Roman"/>
          <w:sz w:val="24"/>
          <w:szCs w:val="24"/>
        </w:rPr>
        <w:t xml:space="preserve"> 33 SDR 226, effective June 27, 2007; transferred from § 64:04:01:33, 35 SDR 88, effective October 27, 2008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; 50 SDR 157, effective July 1, 2024</w:t>
      </w:r>
      <w:r>
        <w:rPr>
          <w:rFonts w:ascii="Times New Roman" w:hAnsi="Times New Roman"/>
          <w:sz w:val="24"/>
          <w:szCs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2008-10-27T16:35:00Z</dcterms:created>
  <cp:lastModifiedBy>Kelly Thompson</cp:lastModifiedBy>
  <dcterms:modified xsi:type="dcterms:W3CDTF">2024-06-27T21:13:13Z</dcterms:modified>
  <cp:revision>3</cp:revision>
</cp:coreProperties>
</file>