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D5A27">
        <w:rPr>
          <w:rFonts w:ascii="Times New Roman" w:hAnsi="Times New Roman"/>
          <w:b/>
          <w:sz w:val="24"/>
        </w:rPr>
        <w:t>44:68:02:08.  Designation criteria for Level V trauma receiving hospitals.</w:t>
      </w:r>
      <w:r>
        <w:rPr>
          <w:rFonts w:ascii="Times New Roman" w:hAnsi="Times New Roman"/>
          <w:sz w:val="24"/>
        </w:rPr>
        <w:t xml:space="preserve"> A Level V trauma receiving hospital shall meet the following criteria: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hospital organization shall have: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 trauma program recognized by the hospital, including a physician medical director and trauma nurse leader;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 hospital-specific definition of a trauma team alert patient;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A multidisciplinary operational and performance improvement review committee with a defined purpose and meeting format. The committee may be combined with another performance improvement committee established by the hospital;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Defined trauma team roles and responsibility;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Defined trauma team activation guidelines; and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Defined trauma transfer protocols;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hospital's emergency department shall include the following capabilities and equipment: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Twenty-four hours a day, seven days a week operation;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 designated medical director;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Physician, physician assistant, or nurse practitioner on-call coverage with a maximum 30 minute response time. Response time shall be documented and monitored;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A registered nurse available in the hospital and promptly available to the emergency department;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Airway control and ventilation equipment including laryngoscope and endotracheal tubes of all sizes, other invasive airway adjuncts, bag-mask resuscitator, pocket masks, and oxygen;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Pulse oximetry;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  End-tidal carbon dioxide detectors;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(h)  Suction devices;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   Electrocardiograph-oscilloscope-defibrillator;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(j)   Pediatric resuscitation equipment;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(k)  Standard intravenous fluids and administration devices, including large bore intravenous catheters;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(l)  Sterile surgical sets, including: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    Airway control, cricothyrotomy, tracheostomy trays, or thoracotomy;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   Vascular access; and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(iii)  Needle decompression or chest tubes (various sizes);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(m)  Gastric decompression or nasal gastric tubes;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(n)   X-ray availability 24 hours a day, seven days a week;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(o)   Two-way communication with vehicles of emergency transport;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(p)   Thermal control equipment for patients; and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(q)   Vascular Doppler;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hospital's radiology services shall include: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 radiology technologist on-call with a maximum 30 minute response time. Response times shall be documented and monitored; and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Conventional radiography;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hospital's laboratory services and capabilities shall include: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 clinical laboratory available 24 hours a day, seven days a week;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Standard analysis of blood, urine, and other body fluids;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An O-negative blood supply; and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Coagulation studies;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hospital shall have respiratory services available;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hospital's trauma prevention and outreach shall include injury prevention and public awareness activities;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hospital's performance improvement and patient safety shall include: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An organized and structured performance improvement program;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 multidisciplinary performance improvement review committee. The committee may be combined with another performance improvement committee established by the hospital;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The collection and submission of trauma data pursuant to chapter 44:68:04;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A hospital and pre-hospital trauma care performance improvement review;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A quarterly mortality and morbidity case review;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An operation performance improvement review program including notification and arrival times for the following team members: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    An on-call physician, physician assistant, or nurse practitioner;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   A radiology technologist;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(iii)  A laboratory technician; and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(iv)  A respiratory therapist, if part of the trauma team;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  A published on-call schedule for trauma team members; and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(h)  A collaborative involvement in pre-hospital care protocols; and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The hospital's staff educational requirements shall be as follows: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The physician medical director shall have current certification in ATLS education;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The surgeon, if on staff, shall: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    Have current certification in ATLS education; or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   Have documentation indicating successful completion of ATLS education at least once and a minimum of 16 hours of trauma continuing medical education credits every four years;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The physician covering the emergency department shall: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    Have current certification in ATLS education; or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   Have documentation indicating successful completion of ATLS education at least once and a minimum of 16 hours of trauma continuing medical education credits every four years;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The physician assistant or nurse practitioner covering the emergency department shall: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    Have current certification in ATLS education; or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   Have documentation indicating successful completion of ATLS education at least once and a minimum of 16 hours of trauma continuing medical education credits every four years; and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Each emergency department nurse shall be current in TNCC education.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304, effective </w:t>
      </w:r>
      <w:smartTag w:uri="urn:schemas-microsoft-com:office:smarttags" w:element="date">
        <w:smartTagPr>
          <w:attr w:name="Month" w:val="6"/>
          <w:attr w:name="Day" w:val="29"/>
          <w:attr w:name="Year" w:val="2009"/>
        </w:smartTagPr>
        <w:r>
          <w:rPr>
            <w:rFonts w:ascii="Times New Roman" w:hAnsi="Times New Roman"/>
            <w:sz w:val="24"/>
          </w:rPr>
          <w:t>June 29, 2009</w:t>
        </w:r>
      </w:smartTag>
      <w:r>
        <w:rPr>
          <w:rFonts w:ascii="Times New Roman" w:hAnsi="Times New Roman"/>
          <w:sz w:val="24"/>
        </w:rPr>
        <w:t>.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34-12-54.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34-12-53, 34-12-54.</w:t>
      </w:r>
    </w:p>
    <w:p w:rsidR="00A80AF1" w:rsidRDefault="00A80AF1" w:rsidP="00B65D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80AF1" w:rsidSect="00A80AF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2DE7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0AF1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65DB8"/>
    <w:rsid w:val="00B7208A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A27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5DB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776</Words>
  <Characters>4429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2009-06-17T14:47:00Z</dcterms:created>
  <dcterms:modified xsi:type="dcterms:W3CDTF">2009-06-29T16:16:00Z</dcterms:modified>
</cp:coreProperties>
</file>