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61955">
        <w:rPr>
          <w:rFonts w:ascii="Times New Roman" w:hAnsi="Times New Roman"/>
          <w:b/>
          <w:sz w:val="24"/>
        </w:rPr>
        <w:t>44:68:04:01.  Reporting.</w:t>
      </w:r>
      <w:r>
        <w:rPr>
          <w:rFonts w:ascii="Times New Roman" w:hAnsi="Times New Roman"/>
          <w:sz w:val="24"/>
        </w:rPr>
        <w:t xml:space="preserve"> The department shall establish a trauma registry. Level I, II, III, IV, and V trauma hospitals shall report to the department regarding any patient that meets the local hospital criteria for trauma team activation, or any patient that has a hospital admission of greater than 48 hours with at least one injury, an International Classification of Diseases, 9</w:t>
      </w:r>
      <w:r w:rsidRPr="00564775">
        <w:rPr>
          <w:rFonts w:ascii="Times New Roman" w:hAnsi="Times New Roman"/>
          <w:sz w:val="24"/>
          <w:vertAlign w:val="superscript"/>
        </w:rPr>
        <w:t>th</w:t>
      </w:r>
      <w:r>
        <w:rPr>
          <w:rFonts w:ascii="Times New Roman" w:hAnsi="Times New Roman"/>
          <w:sz w:val="24"/>
        </w:rPr>
        <w:t xml:space="preserve"> revision ICD-9 diagnosis code between 800.00 and 959.9, including 940-949 (burns), excluding 905-909 (late effects of injuries), 910-924 (blisters, contusions, abrasions, and insect bites), 930-939 (foreign bodies), and isolated hip fractures resulting from a same level fall unrelated to a traumatic event, and also meet at least one of the following criteria: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patient's outcome was death due to trauma;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patient was admitted to the intensive care unit and/or operating room; or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patient was transferred either into or out of the hospital.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Reporting may occur electronically, through completion of the paper form, or another method approved by the department.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</w:t>
      </w:r>
      <w:smartTag w:uri="urn:schemas-microsoft-com:office:smarttags" w:element="date">
        <w:smartTagPr>
          <w:attr w:name="Year" w:val="2009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2009</w:t>
        </w:r>
      </w:smartTag>
      <w:r>
        <w:rPr>
          <w:rFonts w:ascii="Times New Roman" w:hAnsi="Times New Roman"/>
          <w:sz w:val="24"/>
        </w:rPr>
        <w:t>.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61955"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International Classification of Diseases, 9</w:t>
      </w:r>
      <w:r w:rsidRPr="00564775">
        <w:rPr>
          <w:rFonts w:ascii="Times New Roman" w:hAnsi="Times New Roman"/>
          <w:sz w:val="24"/>
          <w:vertAlign w:val="superscript"/>
        </w:rPr>
        <w:t>th</w:t>
      </w:r>
      <w:r>
        <w:rPr>
          <w:rFonts w:ascii="Times New Roman" w:hAnsi="Times New Roman"/>
          <w:sz w:val="24"/>
        </w:rPr>
        <w:t xml:space="preserve"> revision, 2009. Copies may be obtained from Ingenix,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PO Box 27116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sz w:val="24"/>
            </w:rPr>
            <w:t>Salt Lake City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UT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sz w:val="24"/>
            </w:rPr>
            <w:t>84127-0116</w:t>
          </w:r>
        </w:smartTag>
      </w:smartTag>
      <w:r>
        <w:rPr>
          <w:rFonts w:ascii="Times New Roman" w:hAnsi="Times New Roman"/>
          <w:sz w:val="24"/>
        </w:rPr>
        <w:t>. Cost: $94.95 or order online at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hyperlink r:id="rId4" w:history="1">
        <w:r w:rsidRPr="00CE4D6A">
          <w:rPr>
            <w:rStyle w:val="Hyperlink"/>
            <w:rFonts w:ascii="Times New Roman" w:hAnsi="Times New Roman"/>
            <w:sz w:val="24"/>
          </w:rPr>
          <w:t>http://www.shopingenix.com/modules/catalog/catalog_product.asp?ProductID=28934&amp;CategoryID=100093&amp;MarketType</w:t>
        </w:r>
      </w:hyperlink>
      <w:r>
        <w:rPr>
          <w:rFonts w:ascii="Times New Roman" w:hAnsi="Times New Roman"/>
          <w:sz w:val="24"/>
        </w:rPr>
        <w:t xml:space="preserve">=. </w:t>
      </w:r>
    </w:p>
    <w:p w:rsidR="00345F63" w:rsidRDefault="00345F63" w:rsidP="004812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5F63" w:rsidSect="00345F6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45F6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1242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4775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1955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4D6A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124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8124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hopingenix.com/modules/catalog/catalog_product.asp?ProductID=28934&amp;CategoryID=100093&amp;MarketTyp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243</Words>
  <Characters>1386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2009-06-17T14:55:00Z</dcterms:created>
  <dcterms:modified xsi:type="dcterms:W3CDTF">2009-06-17T14:55:00Z</dcterms:modified>
</cp:coreProperties>
</file>