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57590">
        <w:rPr>
          <w:rFonts w:ascii="Times New Roman" w:hAnsi="Times New Roman"/>
          <w:b/>
          <w:sz w:val="24"/>
        </w:rPr>
        <w:t>22:02:0</w:t>
      </w:r>
      <w:r>
        <w:rPr>
          <w:rFonts w:ascii="Times New Roman" w:hAnsi="Times New Roman"/>
          <w:b/>
          <w:sz w:val="24"/>
        </w:rPr>
        <w:t>2:05.  Application for reimbursement -- Evidence of payment.</w:t>
      </w:r>
      <w:r>
        <w:rPr>
          <w:rFonts w:ascii="Times New Roman" w:hAnsi="Times New Roman"/>
          <w:sz w:val="24"/>
        </w:rPr>
        <w:t xml:space="preserve"> A county requesting reimbursement from the CCPR fund must submit an application for reimbursement to the association on a form available from the association.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In addition to the application, a county must provide the following information to the association: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copy of the provider's invoice showing dates of service;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Evidence, such as a copy of the approved county voucher, that payment was made by the county, including the amount paid;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If the request for reimbursement is for a hospital claim incurred after June 30, 1997, documentation which establishes both the individual's and the county's share of the hospital bill;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If county payment to a hospital was based on the Medicaid rate, a copy of the documentation from Medicaid which calculates the Department of Social Services payment rate; and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voucher signed by the county board of commissioners chair or vice-chair.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the claim being submitted is the first reimbursement request covering a particular individual, the county must also submit evidence which shows that the county has met its $20,000 share of the expenses for that individual for the 12-month period in which the services were rendered.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the claim is for an organ transplant, the county must submit evidence of compliance with SDCL 28-13A-13.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1985, amended effective July 1, 1985; 13 SDR 134, effective March 30, 1987; 19 SDR 76, effective November 23, 1992; 25 SDR 69, effective November 12, 1998; transferred from § 67:19:02:05, 36 SDR 27, effective August 26, 2009.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28-13A-4, 28-13A-6.</w:t>
      </w:r>
    </w:p>
    <w:p w:rsidR="00403AFE" w:rsidRDefault="00403AFE" w:rsidP="00864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03AFE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4471"/>
    <w:rsid w:val="000C2028"/>
    <w:rsid w:val="00403AFE"/>
    <w:rsid w:val="00864471"/>
    <w:rsid w:val="00A57590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447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256</Words>
  <Characters>1463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2009-08-25T19:15:00Z</dcterms:created>
  <dcterms:modified xsi:type="dcterms:W3CDTF">2009-08-25T19:16:00Z</dcterms:modified>
</cp:coreProperties>
</file>