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57590">
        <w:rPr>
          <w:rFonts w:ascii="Times New Roman" w:hAnsi="Times New Roman"/>
          <w:b/>
          <w:sz w:val="24"/>
        </w:rPr>
        <w:t>22:02</w:t>
      </w:r>
      <w:r>
        <w:rPr>
          <w:rFonts w:ascii="Times New Roman" w:hAnsi="Times New Roman"/>
          <w:b/>
          <w:sz w:val="24"/>
        </w:rPr>
        <w:t>:02:06.  Claim approval process.</w:t>
      </w:r>
      <w:r>
        <w:rPr>
          <w:rFonts w:ascii="Times New Roman" w:hAnsi="Times New Roman"/>
          <w:sz w:val="24"/>
        </w:rPr>
        <w:t xml:space="preserve"> The association shall return an application for reimbursement containing insufficient information or evidence to the county for completion and resubmission.</w:t>
      </w: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After receipt of the county's application, supporting documentation, and the association's recommendations, the board shall review the claim and approve, deny, or adjust the payment. </w:t>
      </w: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board shall notify the county in writing if the claim is denied. The notice shall contain the reasons for the denial and shall be sent by certified mail within 10 working days after the decision is rendered.</w:t>
      </w: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22 SDR 2, effective July 17, 1995; 25 SDR 69, effective November 12, 1998; transferred from § 67:19:02:06, 36 SDR 27, effective August 26, 2009.</w:t>
      </w: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28-13A-6, 28-13A-7.</w:t>
      </w: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Review procedure, § 22:02:01:08.</w:t>
      </w:r>
    </w:p>
    <w:p w:rsidR="00554E1C" w:rsidRDefault="00554E1C" w:rsidP="00170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54E1C"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70710"/>
    <w:rsid w:val="000C2028"/>
    <w:rsid w:val="00170710"/>
    <w:rsid w:val="00554E1C"/>
    <w:rsid w:val="00A57590"/>
    <w:rsid w:val="00CA70E5"/>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071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144</Words>
  <Characters>821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2009-08-25T19:16:00Z</dcterms:created>
  <dcterms:modified xsi:type="dcterms:W3CDTF">2009-08-25T19:16:00Z</dcterms:modified>
</cp:coreProperties>
</file>