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20:10:37:17.  Change of ownership.</w:t>
      </w:r>
      <w:r>
        <w:rPr>
          <w:sz w:val="24"/>
        </w:rPr>
        <w:t xml:space="preserve"> Each pipeline operator, upon finalization of an agreement to purchase or sell a jurisdictional gas pipeline facility subject to the provisions of </w:t>
      </w:r>
      <w:r>
        <w:rPr>
          <w:sz w:val="24"/>
        </w:rPr>
        <w:t>49</w:t>
      </w:r>
      <w:r>
        <w:rPr>
          <w:sz w:val="24"/>
          <w:lang w:val="en-US" w:bidi="en-US" w:eastAsia="en-US"/>
        </w:rPr>
        <w:t xml:space="preserve"> C.F.R.</w:t>
      </w:r>
      <w:r>
        <w:rPr>
          <w:sz w:val="24"/>
        </w:rPr>
        <w:t xml:space="preserve"> Part 192 </w:t>
      </w:r>
      <w:r>
        <w:rPr>
          <w:sz w:val="24"/>
          <w:lang w:val="en-US" w:bidi="en-US" w:eastAsia="en-US"/>
        </w:rPr>
        <w:t>(</w:t>
      </w:r>
      <w:r>
        <w:rPr>
          <w:sz w:val="24"/>
        </w:rPr>
        <w:t>July 1, 20</w:t>
      </w:r>
      <w:r>
        <w:rPr>
          <w:sz w:val="24"/>
          <w:lang w:val="en-US" w:bidi="en-US" w:eastAsia="en-US"/>
        </w:rPr>
        <w:t>2</w:t>
      </w:r>
      <w:r>
        <w:rPr>
          <w:sz w:val="24"/>
          <w:lang w:val="en-US" w:bidi="en-US" w:eastAsia="en-US"/>
        </w:rPr>
        <w:t>3)</w:t>
      </w:r>
      <w:r>
        <w:rPr>
          <w:sz w:val="24"/>
        </w:rPr>
        <w:t xml:space="preserve">, must, within </w:t>
      </w:r>
      <w:r>
        <w:rPr>
          <w:sz w:val="24"/>
          <w:lang w:val="en-US" w:bidi="en-US" w:eastAsia="en-US"/>
        </w:rPr>
        <w:t>thirty</w:t>
      </w:r>
      <w:r>
        <w:rPr>
          <w:sz w:val="24"/>
        </w:rPr>
        <w:t xml:space="preserve"> business days, submit to the commission's pipeline safety program a written notification of this agreement. This rule does not apply to any transaction made pursuant to SDCL 49-34A-35.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Source:</w:t>
      </w:r>
      <w:r>
        <w:rPr>
          <w:sz w:val="24"/>
        </w:rPr>
        <w:t xml:space="preserve"> 36 SDR 57, effective October 19, 2009</w:t>
      </w:r>
      <w:r>
        <w:rPr>
          <w:rFonts w:ascii="Times New Roman" w:hAnsi="Times New Roman"/>
          <w:sz w:val="24"/>
          <w:lang w:val="en-US" w:bidi="en-US" w:eastAsia="en-US"/>
        </w:rPr>
        <w:t>; 47 SDR 125, effective May 30, 2021</w:t>
      </w:r>
      <w:r>
        <w:rPr>
          <w:rFonts w:ascii="Times New Roman" w:hAnsi="Times New Roman"/>
          <w:sz w:val="24"/>
          <w:lang w:val="en-US" w:bidi="en-US" w:eastAsia="en-US"/>
        </w:rPr>
        <w:t>; 50 SDR 125, effective May 6, 2024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General Authority:</w:t>
      </w:r>
      <w:r>
        <w:rPr>
          <w:sz w:val="24"/>
        </w:rPr>
        <w:t xml:space="preserve"> SDCL 49-34B-4, 49-34B-19.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ab/>
      </w:r>
      <w:r>
        <w:rPr>
          <w:b w:val="1"/>
          <w:sz w:val="24"/>
        </w:rPr>
        <w:t>Law Implemented:</w:t>
      </w:r>
      <w:r>
        <w:rPr>
          <w:sz w:val="24"/>
        </w:rPr>
        <w:t xml:space="preserve"> SDCL 49-34B-3, 49-34B-4, 49-34B-19, 49-34B-27.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2009-10-19T20:07:00Z</dcterms:created>
  <cp:lastModifiedBy>Kelly Thompson</cp:lastModifiedBy>
  <dcterms:modified xsi:type="dcterms:W3CDTF">2024-04-26T13:43:57Z</dcterms:modified>
  <cp:revision>6</cp:revision>
</cp:coreProperties>
</file>