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  <w:r>
        <w:rPr>
          <w:sz w:val="24"/>
        </w:rPr>
        <w:tab/>
      </w:r>
      <w:r>
        <w:rPr>
          <w:b w:val="1"/>
          <w:sz w:val="24"/>
        </w:rPr>
        <w:t>20:10:37:19.  Annual report.</w:t>
      </w:r>
      <w:r>
        <w:rPr>
          <w:sz w:val="24"/>
        </w:rPr>
        <w:t xml:space="preserve"> </w:t>
      </w:r>
      <w:r>
        <w:rPr>
          <w:sz w:val="24"/>
          <w:lang w:val="en-US" w:bidi="en-US" w:eastAsia="en-US"/>
        </w:rPr>
        <w:t>E</w:t>
      </w:r>
      <w:r>
        <w:rPr>
          <w:sz w:val="24"/>
        </w:rPr>
        <w:t xml:space="preserve">ach pipeline operator shall submit to the commission a copy of </w:t>
      </w:r>
      <w:r>
        <w:rPr>
          <w:sz w:val="24"/>
          <w:lang w:val="en-US" w:bidi="en-US" w:eastAsia="en-US"/>
        </w:rPr>
        <w:t xml:space="preserve">either </w:t>
      </w:r>
      <w:r>
        <w:rPr>
          <w:sz w:val="24"/>
        </w:rPr>
        <w:t xml:space="preserve">its United States Department of Transportation Form RSPA F 7100.1-1 </w:t>
      </w:r>
      <w:r>
        <w:rPr>
          <w:sz w:val="24"/>
        </w:rPr>
        <w:t>or Form RSPA F 7100.2-1</w:t>
      </w:r>
      <w:r>
        <w:rPr>
          <w:sz w:val="24"/>
          <w:lang w:val="en-US" w:bidi="en-US" w:eastAsia="en-US"/>
        </w:rPr>
        <w:t xml:space="preserve">, or </w:t>
      </w:r>
      <w:r>
        <w:rPr>
          <w:sz w:val="24"/>
          <w:lang w:val="en-US" w:bidi="en-US" w:eastAsia="en-US"/>
        </w:rPr>
        <w:t>both</w:t>
      </w:r>
      <w:r>
        <w:rPr>
          <w:sz w:val="24"/>
        </w:rPr>
        <w:t xml:space="preserve">. A copy of the report shall be submitted by March </w:t>
      </w:r>
      <w:r>
        <w:rPr>
          <w:sz w:val="24"/>
          <w:lang w:val="en-US" w:bidi="en-US" w:eastAsia="en-US"/>
        </w:rPr>
        <w:t>fifteenth</w:t>
      </w:r>
      <w:r>
        <w:rPr>
          <w:sz w:val="24"/>
        </w:rPr>
        <w:t xml:space="preserve"> each year for the preceding calendar year.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  <w:r>
        <w:rPr>
          <w:sz w:val="24"/>
        </w:rPr>
        <w:tab/>
        <w:t xml:space="preserve">This reporting requirement does not relieve the operator of its federal reporting requirements as found in 49 C.F.R. §§ 191.11 and 191.17 </w:t>
      </w:r>
      <w:r>
        <w:rPr>
          <w:sz w:val="24"/>
          <w:lang w:val="en-US" w:bidi="en-US" w:eastAsia="en-US"/>
        </w:rPr>
        <w:t>(</w:t>
      </w:r>
      <w:r>
        <w:rPr>
          <w:sz w:val="24"/>
        </w:rPr>
        <w:t>July 1, 20</w:t>
      </w:r>
      <w:r>
        <w:rPr>
          <w:sz w:val="24"/>
          <w:lang w:val="en-US" w:bidi="en-US" w:eastAsia="en-US"/>
        </w:rPr>
        <w:t>2</w:t>
      </w:r>
      <w:r>
        <w:rPr>
          <w:sz w:val="24"/>
          <w:lang w:val="en-US" w:bidi="en-US" w:eastAsia="en-US"/>
        </w:rPr>
        <w:t>3)</w:t>
      </w:r>
      <w:r>
        <w:rPr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  <w:r>
        <w:rPr>
          <w:sz w:val="24"/>
        </w:rPr>
        <w:tab/>
      </w:r>
      <w:r>
        <w:rPr>
          <w:b w:val="1"/>
          <w:sz w:val="24"/>
        </w:rPr>
        <w:t>Source:</w:t>
      </w:r>
      <w:r>
        <w:rPr>
          <w:sz w:val="24"/>
        </w:rPr>
        <w:t xml:space="preserve"> 36 SDR 57, effective October 19, 2009</w:t>
      </w:r>
      <w:r>
        <w:rPr>
          <w:rFonts w:ascii="Times New Roman" w:hAnsi="Times New Roman"/>
          <w:sz w:val="24"/>
          <w:lang w:val="en-US" w:bidi="en-US" w:eastAsia="en-US"/>
        </w:rPr>
        <w:t>; 47 SDR 125, effective May 30, 2021</w:t>
      </w:r>
      <w:r>
        <w:rPr>
          <w:rFonts w:ascii="Times New Roman" w:hAnsi="Times New Roman"/>
          <w:sz w:val="24"/>
          <w:lang w:val="en-US" w:bidi="en-US" w:eastAsia="en-US"/>
        </w:rPr>
        <w:t>; 50 SDR 125, effective May 6, 2024</w:t>
      </w:r>
      <w:r>
        <w:rPr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  <w:r>
        <w:rPr>
          <w:sz w:val="24"/>
        </w:rPr>
        <w:tab/>
      </w:r>
      <w:r>
        <w:rPr>
          <w:b w:val="1"/>
          <w:sz w:val="24"/>
        </w:rPr>
        <w:t>General Authority:</w:t>
      </w:r>
      <w:r>
        <w:rPr>
          <w:sz w:val="24"/>
        </w:rPr>
        <w:t xml:space="preserve"> SDCL 49-34B-4, 49-34B-19.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  <w:r>
        <w:rPr>
          <w:sz w:val="24"/>
        </w:rPr>
        <w:tab/>
      </w:r>
      <w:r>
        <w:rPr>
          <w:b w:val="1"/>
          <w:sz w:val="24"/>
        </w:rPr>
        <w:t>Law Implemented:</w:t>
      </w:r>
      <w:r>
        <w:rPr>
          <w:sz w:val="24"/>
        </w:rPr>
        <w:t xml:space="preserve"> SDCL 49-34B-3, 49-34B-4, 49-34B-6, 49-34B-7, 49-34B-19, 49-34B-27.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2009-10-19T20:08:00Z</dcterms:created>
  <cp:lastModifiedBy>Kelly Thompson</cp:lastModifiedBy>
  <dcterms:modified xsi:type="dcterms:W3CDTF">2024-04-26T13:54:31Z</dcterms:modified>
  <cp:revision>5</cp:revision>
</cp:coreProperties>
</file>