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73016DF6" Type="http://schemas.openxmlformats.org/officeDocument/2006/relationships/officeDocument" Target="/word/document.xml" /><Relationship Id="coreR73016DF6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 xml:space="preserve">20:06:18:03.01.  Continuing education requirements for licensees obtaining new </w:t>
      </w:r>
      <w:r>
        <w:rPr>
          <w:b w:val="1"/>
          <w:lang w:val="en-US" w:bidi="en-US" w:eastAsia="en-US"/>
        </w:rPr>
        <w:t>lines of authority</w:t>
      </w:r>
      <w:r>
        <w:rPr>
          <w:b w:val="1"/>
        </w:rPr>
        <w:t>.</w:t>
      </w:r>
      <w:r>
        <w:t xml:space="preserve"> Any licensee who obtains a new </w:t>
      </w:r>
      <w:r>
        <w:rPr>
          <w:lang w:val="en-US" w:bidi="en-US" w:eastAsia="en-US"/>
        </w:rPr>
        <w:t>line of authority</w:t>
      </w:r>
      <w:r>
        <w:t xml:space="preserve"> during the licensee's two-year continuing education period does not need to fulfill the requirements of § 20:06:18:03 for the new </w:t>
      </w:r>
      <w:r>
        <w:rPr>
          <w:lang w:val="en-US" w:bidi="en-US" w:eastAsia="en-US"/>
        </w:rPr>
        <w:t>line of authority</w:t>
      </w:r>
      <w:r>
        <w:t xml:space="preserve"> until the next two-year period.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36 SDR 127, adopted February 8, 2010, effective May 1, 2010</w:t>
      </w:r>
      <w:r>
        <w:t>; 45 SDR 45, effective October 10, 2018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</w:t>
      </w:r>
      <w:r>
        <w:t>58-30-117.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58-30-116, 58-30-117.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2010-02-23T18:56:00Z</dcterms:created>
  <cp:lastModifiedBy>Rhonda Purkapile</cp:lastModifiedBy>
  <dcterms:modified xsi:type="dcterms:W3CDTF">2018-10-02T20:06:10Z</dcterms:modified>
  <cp:revision>3</cp:revision>
</cp:coreProperties>
</file>