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FBA406B" Type="http://schemas.openxmlformats.org/officeDocument/2006/relationships/officeDocument" Target="/word/document.xml" /><Relationship Id="coreR2FBA406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41:08:02:14.  Traps and associated equipment prohibited on public lands open to trapping -- Dates.</w:t>
      </w:r>
      <w:r>
        <w:t xml:space="preserve"> </w:t>
      </w:r>
      <w:r>
        <w:rPr>
          <w:lang w:val="en-US" w:bidi="en-US" w:eastAsia="en-US"/>
        </w:rPr>
        <w:t>Re</w:t>
      </w:r>
      <w:r>
        <w:rPr>
          <w:lang w:val="en-US" w:bidi="en-US" w:eastAsia="en-US"/>
        </w:rPr>
        <w:t>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37 SDR 18, effective August 16, 2010; 39 SDR 10, effective August 1, 2012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2012-08-02T14:49:00Z</dcterms:created>
  <cp:lastModifiedBy>Rhonda Purkapile</cp:lastModifiedBy>
  <dcterms:modified xsi:type="dcterms:W3CDTF">2020-09-09T18:38:30Z</dcterms:modified>
  <cp:revision>4</cp:revision>
</cp:coreProperties>
</file>