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A6E92" w:rsidRDefault="001A6E92" w:rsidP="00222140">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B645EC">
        <w:rPr>
          <w:b/>
        </w:rPr>
        <w:t>20:06:55:07.  Individuals whose coverage ended by reason of reaching a dependent eligibility threshold -- Written notice.</w:t>
      </w:r>
      <w:r>
        <w:t xml:space="preserve"> For purposes of §§ 20:06:55:05 to 20:06:55:09, inclusive, the written notice must include a statement that children whose coverage ended, who were denied coverage or were not eligible for coverage, because the availability of dependent coverage of children ended before attainment of age 26 are eligible to enroll in the plan or coverage. The notice may be provided to an employee on behalf of the employee's child and in the individual market, to the primary subscriber on behalf of the primary subscriber's child. In addition, for a group health plan or group health insurance coverage, the notice may be included with other enrollment materials that a plan distributes to employees, provided the statement is prominent. For a group health plan or group health insurance coverage, if a notice satisfying the requirements of this section is provided to an employee whose child is entitled to an enrollment opportunity pursuant to § 20:06:55:05, the obligation to provide the notice of enrollment opportunity pursuant to § 20:06:55:05 with respect to that child is satisfied for both the plan and the issuer. The written notice must be provided beginning not later than the first day of the first plan year and in the individual market the first day of the first policy year, beginning after September 22, 2010.</w:t>
      </w:r>
    </w:p>
    <w:p w:rsidR="001A6E92" w:rsidRDefault="001A6E92" w:rsidP="00222140">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1A6E92" w:rsidRDefault="001A6E92" w:rsidP="00222140">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r>
        <w:rPr>
          <w:szCs w:val="24"/>
        </w:rPr>
        <w:tab/>
      </w:r>
      <w:r w:rsidRPr="006228DA">
        <w:rPr>
          <w:b/>
          <w:szCs w:val="24"/>
        </w:rPr>
        <w:t>Source:</w:t>
      </w:r>
      <w:r>
        <w:rPr>
          <w:szCs w:val="24"/>
        </w:rPr>
        <w:t xml:space="preserve"> 37 SDR 63, effective September 23, 2010; 37 SDR 111, effective December 7, 2010.</w:t>
      </w:r>
    </w:p>
    <w:p w:rsidR="001A6E92" w:rsidRDefault="001A6E92" w:rsidP="00222140">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r>
        <w:rPr>
          <w:szCs w:val="24"/>
        </w:rPr>
        <w:tab/>
      </w:r>
      <w:r w:rsidRPr="006228DA">
        <w:rPr>
          <w:b/>
          <w:szCs w:val="24"/>
        </w:rPr>
        <w:t>General Authority:</w:t>
      </w:r>
      <w:r>
        <w:rPr>
          <w:szCs w:val="24"/>
        </w:rPr>
        <w:t xml:space="preserve"> SDCL 58-17-87, 58-18-79.</w:t>
      </w:r>
    </w:p>
    <w:p w:rsidR="001A6E92" w:rsidRDefault="001A6E92" w:rsidP="00222140">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r>
        <w:rPr>
          <w:szCs w:val="24"/>
        </w:rPr>
        <w:tab/>
      </w:r>
      <w:r w:rsidRPr="006228DA">
        <w:rPr>
          <w:b/>
          <w:szCs w:val="24"/>
        </w:rPr>
        <w:t>Law Implemented:</w:t>
      </w:r>
      <w:r>
        <w:rPr>
          <w:szCs w:val="24"/>
        </w:rPr>
        <w:t xml:space="preserve"> SDCL 58-17-87, 58-18-79.</w:t>
      </w:r>
    </w:p>
    <w:p w:rsidR="001A6E92" w:rsidRDefault="001A6E92" w:rsidP="00222140">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1A6E92" w:rsidSect="00CB001C">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22140"/>
    <w:rsid w:val="001A6E92"/>
    <w:rsid w:val="00222140"/>
    <w:rsid w:val="006228DA"/>
    <w:rsid w:val="00870F7A"/>
    <w:rsid w:val="00961235"/>
    <w:rsid w:val="00A7076E"/>
    <w:rsid w:val="00B645EC"/>
    <w:rsid w:val="00CB001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22140"/>
    <w:rPr>
      <w:rFonts w:ascii="Times New Roman" w:hAnsi="Times New Roman"/>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241</Words>
  <Characters>1374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2010-11-29T15:04:00Z</dcterms:created>
  <dcterms:modified xsi:type="dcterms:W3CDTF">2010-11-29T15:05:00Z</dcterms:modified>
</cp:coreProperties>
</file>