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1EDC" w:rsidRDefault="00631EDC" w:rsidP="003368C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B645EC">
        <w:rPr>
          <w:b/>
        </w:rPr>
        <w:t>20:06:55:08.  Individuals whose coverage ended by reason of reaching a dependent eligibility threshold -- Effective date.</w:t>
      </w:r>
      <w:r>
        <w:t xml:space="preserve"> In the case of an individual who enrolls pursuant to § 20:06:55:05, coverage must take effect in the group market not later than the first day of the first plan year and in the individual market, the first day of the first policy year, beginning after September 22, 2010.</w:t>
      </w:r>
    </w:p>
    <w:p w:rsidR="00631EDC" w:rsidRDefault="00631EDC" w:rsidP="003368C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31EDC" w:rsidRDefault="00631EDC" w:rsidP="003368C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Source:</w:t>
      </w:r>
      <w:r>
        <w:rPr>
          <w:szCs w:val="24"/>
        </w:rPr>
        <w:t xml:space="preserve"> 37 SDR 63, effective September 23, 2010; 37 SDR 111, effective December 7, 2010.</w:t>
      </w:r>
    </w:p>
    <w:p w:rsidR="00631EDC" w:rsidRDefault="00631EDC" w:rsidP="003368C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General Authority:</w:t>
      </w:r>
      <w:r>
        <w:rPr>
          <w:szCs w:val="24"/>
        </w:rPr>
        <w:t xml:space="preserve"> SDCL 58-17-87, 58-18-79.</w:t>
      </w:r>
    </w:p>
    <w:p w:rsidR="00631EDC" w:rsidRDefault="00631EDC" w:rsidP="003368C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Law Implemented:</w:t>
      </w:r>
      <w:r>
        <w:rPr>
          <w:szCs w:val="24"/>
        </w:rPr>
        <w:t xml:space="preserve"> SDCL 58-17-87, 58-18-79.</w:t>
      </w:r>
    </w:p>
    <w:p w:rsidR="00631EDC" w:rsidRDefault="00631EDC" w:rsidP="003368C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631EDC"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368CF"/>
    <w:rsid w:val="003368CF"/>
    <w:rsid w:val="006228DA"/>
    <w:rsid w:val="00631EDC"/>
    <w:rsid w:val="00870F7A"/>
    <w:rsid w:val="00961235"/>
    <w:rsid w:val="00A7076E"/>
    <w:rsid w:val="00B645EC"/>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68CF"/>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85</Words>
  <Characters>490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2010-11-29T15:05:00Z</dcterms:created>
  <dcterms:modified xsi:type="dcterms:W3CDTF">2010-11-29T15:05:00Z</dcterms:modified>
</cp:coreProperties>
</file>