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62:04:03:02.  Distributions deemed reasonable and made in good faith under federal law.</w:t>
      </w:r>
      <w:r>
        <w:rPr>
          <w:szCs w:val="20"/>
        </w:rPr>
        <w:t xml:space="preserve"> </w:t>
      </w:r>
      <w:r>
        <w:rPr>
          <w:szCs w:val="20"/>
          <w:lang w:val="en-US" w:bidi="en-US" w:eastAsia="en-US"/>
        </w:rPr>
        <w:t>Repealed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Source:</w:t>
      </w:r>
      <w:r>
        <w:rPr>
          <w:szCs w:val="20"/>
        </w:rPr>
        <w:t xml:space="preserve"> 37 SDR 214, effective May 30, 2011; 39 SDR 227, effective July 1, 2013</w:t>
      </w:r>
      <w:r>
        <w:rPr>
          <w:szCs w:val="20"/>
          <w:lang w:val="en-US" w:bidi="en-US" w:eastAsia="en-US"/>
        </w:rPr>
        <w:t>; 47 SDR 138, effective July 1, 2021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2013-07-02T21:22:00Z</dcterms:created>
  <cp:lastModifiedBy>Kelly Thompson</cp:lastModifiedBy>
  <dcterms:modified xsi:type="dcterms:W3CDTF">2021-06-29T18:26:02Z</dcterms:modified>
  <cp:revision>5</cp:revision>
</cp:coreProperties>
</file>