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9DF" w:rsidRDefault="006E69DF" w:rsidP="00D76E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692E72">
        <w:rPr>
          <w:b/>
        </w:rPr>
        <w:t>2:06:03:08.  Failure to pay fees.</w:t>
      </w:r>
      <w:r>
        <w:t xml:space="preserve"> Repealed.</w:t>
      </w:r>
    </w:p>
    <w:p w:rsidR="006E69DF" w:rsidRDefault="006E69DF" w:rsidP="00D76E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 xml:space="preserve"> </w:t>
      </w:r>
    </w:p>
    <w:p w:rsidR="006E69DF" w:rsidRDefault="006E69DF" w:rsidP="00D76E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1181F">
        <w:rPr>
          <w:b/>
        </w:rPr>
        <w:t>Source:</w:t>
      </w:r>
      <w:r>
        <w:t xml:space="preserve"> 37 SDR 236, effective July 1, 2011; repealed, SL 2014, ch 6, § 9, effective July 1, 2014.</w:t>
      </w:r>
    </w:p>
    <w:p w:rsidR="006E69DF" w:rsidRDefault="006E69DF" w:rsidP="00D76E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6E69D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6EFC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E72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E69DF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81F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6EFC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2014-06-25T15:51:00Z</dcterms:created>
  <dcterms:modified xsi:type="dcterms:W3CDTF">2014-06-25T15:51:00Z</dcterms:modified>
</cp:coreProperties>
</file>