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97C0E">
        <w:rPr>
          <w:rFonts w:ascii="Times New Roman" w:hAnsi="Times New Roman"/>
          <w:b/>
          <w:sz w:val="24"/>
        </w:rPr>
        <w:t>20:77:06:01.  Retention of records.</w:t>
      </w:r>
      <w:r>
        <w:rPr>
          <w:rFonts w:ascii="Times New Roman" w:hAnsi="Times New Roman"/>
          <w:sz w:val="24"/>
        </w:rPr>
        <w:t xml:space="preserve"> An appraisal management company registered under the provisions of this article shall retain the following records: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detailed record of each service request that it receives for appraisals of real property located in South Dakota, which shall include, but is not limited to, the following: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Letter of engagement with the utilized appraiser;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Appraisal report received from the utilized appraiser, including the original report, any revised reports, and any addenda or other material furnished subsequent to the delivery of the original report;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Any and all assignment related correspondence sent to and received from the utilized appraiser;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  Letter of engagement with the utilized reviewing appraiser for the purpose of reviewing the requested appraisal;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  Review of the requested appraisal, including the original review report, any and all correspondence sent to and received from the utilized reviewing appraiser, and each subsequent revised review report;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  Requests received from the client, all documentation supplied to that client, and any and all correspondence sent to and received from the client; and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  Fees paid to utilized appraisers and the fees received from the client;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appraiser fee schedules, with beginning and ending effective dates, which is developed, maintained, and is currently being used.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Records must be retained for a minimum of five years. However, if, within the five-year period, an appraisal or report is involved in an investigation, litigation, or state or federal review, the five-year period for the retention of the records begins on the date of the final disposition of that investigation, litigation, or state or federal review. Records may be retained as a photocopy or electronic copy type of media.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36-21D-4(8).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36-21D-1, 36-21D-4(3)(8).</w:t>
      </w:r>
    </w:p>
    <w:p w:rsidR="00F2394D" w:rsidRDefault="00F2394D" w:rsidP="00A43D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2394D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43DB5"/>
    <w:rsid w:val="0004740F"/>
    <w:rsid w:val="001164E4"/>
    <w:rsid w:val="00345200"/>
    <w:rsid w:val="00397C0E"/>
    <w:rsid w:val="00811C73"/>
    <w:rsid w:val="00A43DB5"/>
    <w:rsid w:val="00F239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3DB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296</Words>
  <Characters>1689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2011-09-20T19:38:00Z</dcterms:created>
  <dcterms:modified xsi:type="dcterms:W3CDTF">2011-09-20T19:38:00Z</dcterms:modified>
</cp:coreProperties>
</file>