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04E20">
        <w:rPr>
          <w:rFonts w:ascii="Times New Roman" w:hAnsi="Times New Roman"/>
          <w:b/>
          <w:sz w:val="24"/>
        </w:rPr>
        <w:t>44:69:02:07.  Infection control.</w:t>
      </w:r>
      <w:r>
        <w:rPr>
          <w:rFonts w:ascii="Times New Roman" w:hAnsi="Times New Roman"/>
          <w:sz w:val="24"/>
        </w:rPr>
        <w:t xml:space="preserve"> The infection control program shall utilize the concept of standard precautions as the basis for infection control pursuant to chapter 44:20:04. The birth center shall have written procedures that govern the use of aseptic techniques and procedures in all areas of the birth center. Each birth center shall develop policies and procedures for the handling and storage of potentially hazardous substances (including lab specimens).</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birth center with three or more beds shall designate an employee to be responsible for the implementation of the infection control program including surveillance and reporting activities.</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Each birth center shall provide an organized infection control program for preventing, investigating, and controlling infection.</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34-12-62(7).</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34-12-62(7).</w:t>
      </w:r>
    </w:p>
    <w:p w:rsidR="00002A03" w:rsidRDefault="00002A03" w:rsidP="00C357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02A03"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357F4"/>
    <w:rsid w:val="00002A03"/>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357F4"/>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04E20"/>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7F4"/>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136</Words>
  <Characters>776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2012-01-01T17:03:00Z</dcterms:created>
  <dcterms:modified xsi:type="dcterms:W3CDTF">2012-01-01T17:03:00Z</dcterms:modified>
</cp:coreProperties>
</file>