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31:02:01:04.  Grant conditions.</w:t>
      </w:r>
      <w:r>
        <w:rPr>
          <w:rFonts w:ascii="Times New Roman" w:hAnsi="Times New Roman"/>
          <w:sz w:val="24"/>
        </w:rPr>
        <w:t xml:space="preserve"> A grant shall be in an amount determined by GOED and made subject to the following terms: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  The amount of the grant may not exceed the actual cost of the project as proposed in the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(2)  A grant shall be paid on a reimbursement basis upon satisfactory completion of the project. The grant recipient shall submit a U.S. Internal Revenue Service Form W-9 and as applicable to the project, ethanol blender pump specification, certification that installation meets Department of </w:t>
      </w:r>
      <w:r>
        <w:rPr>
          <w:rFonts w:ascii="Times New Roman" w:hAnsi="Times New Roman"/>
          <w:sz w:val="24"/>
          <w:lang w:val="en-US" w:bidi="en-US" w:eastAsia="en-US"/>
        </w:rPr>
        <w:t>Agriculture</w:t>
      </w:r>
      <w:r>
        <w:rPr>
          <w:rFonts w:ascii="Times New Roman" w:hAnsi="Times New Roman"/>
          <w:sz w:val="24"/>
        </w:rPr>
        <w:t xml:space="preserve"> and Natural Resources standards, copies of all invoices for the project, proof of payment of all project costs, lien releases from vendors and installers, and other documentation reasonably required by GOED to establish that the project has been satisfactorily completed in compliance with the provisions of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(3)  All work paid for with grant proceeds shall comply with all applicable building and housing codes and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(4)  Unless a written extension is granted by GOED, the project shall be completed within one hundred eighty days of notice of grant approval;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(5)  The grant application and application for reimbursement shall be signed under oath;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(6)  Any project that involves the installation of ethanol blender pumps, including successor owners, shall continue to sell ethanol blends in excess of fifteen percent ethanol for a minimum of twenty-four months after project completion;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(7)  Any existing pump to be replaced shall be removed and disposed of in compliance with applicable federal and state environmental protection laws.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38 SDR 115, effective January 9, 2012</w:t>
      </w:r>
      <w:r>
        <w:rPr>
          <w:rFonts w:ascii="Times New Roman" w:hAnsi="Times New Roman"/>
          <w:sz w:val="24"/>
        </w:rPr>
        <w:t>; SL 2021, ch 1, §§ 8, 19, effective April 19, 2021</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10-47B-164.1, 10-47B-164.2.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10-47B-164.1.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splitPgBreakAndParaMark/>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center"/>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lrpr14533</dc:creator>
  <dcterms:created xsi:type="dcterms:W3CDTF">2012-01-15T15:35:00Z</dcterms:created>
  <cp:lastModifiedBy>Rhonda Purkapile</cp:lastModifiedBy>
  <dcterms:modified xsi:type="dcterms:W3CDTF">2021-03-18T20:36:59Z</dcterms:modified>
  <cp:revision>5</cp:revision>
</cp:coreProperties>
</file>