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20:38:28:03.  Inactive or retired status.</w:t>
      </w:r>
      <w:r>
        <w:t xml:space="preserve"> Upon licensee request, the board may grant inactive or retired status if the following criteria are met: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(1)  The person no longer practices the profession or offers to practice the profession;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(2)  The person has not had a professional license revoked in any state;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(3)  The required fees are paid.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A person maintaining inactive status may apply for license reactivation if the person</w:t>
      </w:r>
      <w:r>
        <w:rPr>
          <w:lang w:val="en-US" w:bidi="en-US" w:eastAsia="en-US"/>
        </w:rPr>
        <w:t>, consistent with the r</w:t>
      </w:r>
      <w:r>
        <w:rPr>
          <w:lang w:val="en-US" w:bidi="en-US" w:eastAsia="en-US"/>
        </w:rPr>
        <w:t>equirements of SDCL 36-18A-42,</w:t>
      </w:r>
      <w:r>
        <w:t xml:space="preserve"> meets all current requirements for licensure</w:t>
      </w:r>
      <w:r>
        <w:rPr>
          <w:lang w:val="en-US" w:bidi="en-US" w:eastAsia="en-US"/>
        </w:rPr>
        <w:t xml:space="preserve"> renewal</w:t>
      </w:r>
      <w:r>
        <w:t>,</w:t>
      </w:r>
      <w:r>
        <w:t xml:space="preserve"> pays the application fee and passes a take</w:t>
      </w:r>
      <w:r>
        <w:rPr>
          <w:lang w:val="en-US" w:bidi="en-US" w:eastAsia="en-US"/>
        </w:rPr>
        <w:t>-</w:t>
      </w:r>
      <w:r>
        <w:t>home examination covering South Dakota laws and ethics.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26 SDR 9, effective July 29, 1999; 33 SDR 70, effective June 20, 2006; 34 SDR 107, effective October 31, 2007; transferred from § 20:38:18:03, 38 SDR 121, effective January 16, 2012</w:t>
      </w:r>
      <w:r>
        <w:rPr>
          <w:lang w:val="en-US" w:bidi="en-US" w:eastAsia="en-US"/>
        </w:rPr>
        <w:t>; 51 SDR 56, effective No</w:t>
      </w:r>
      <w:r>
        <w:rPr>
          <w:lang w:val="en-US" w:bidi="en-US" w:eastAsia="en-US"/>
        </w:rPr>
        <w:t>vember 20, 2024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36-18A-40.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36-18A-40, 36-18A-42, 36-18A-43.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 New Roman" w:hAnsi="Times New Roman"/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2012-02-02T19:57:00Z</dcterms:created>
  <cp:lastModifiedBy>Kelly Thompson</cp:lastModifiedBy>
  <dcterms:modified xsi:type="dcterms:W3CDTF">2024-11-14T22:38:38Z</dcterms:modified>
  <cp:revision>3</cp:revision>
</cp:coreProperties>
</file>