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20:38:29:01.  Application required.</w:t>
      </w:r>
      <w:r>
        <w:t xml:space="preserve"> An application is required</w:t>
      </w:r>
      <w:r>
        <w:rPr>
          <w:lang w:val="en-US" w:bidi="en-US" w:eastAsia="en-US"/>
        </w:rPr>
        <w:t>,</w:t>
      </w:r>
      <w:r>
        <w:t xml:space="preserve"> in accordance with the provisions of this chapter, for each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Individual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Individual license renewal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Individual license reactivation;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Business entity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Business entity license renewal;</w:t>
      </w:r>
      <w:r>
        <w:rPr>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Business entity license reactivation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An </w:t>
      </w:r>
      <w:r>
        <w:rPr>
          <w:lang w:val="en-US" w:bidi="en-US" w:eastAsia="en-US"/>
        </w:rPr>
        <w:t xml:space="preserve">electronic </w:t>
      </w:r>
      <w:r>
        <w:t xml:space="preserve">application must be </w:t>
      </w:r>
      <w:r>
        <w:rPr>
          <w:lang w:val="en-US" w:bidi="en-US" w:eastAsia="en-US"/>
        </w:rPr>
        <w:t>submitted using the method designated by the board administrator,</w:t>
      </w:r>
      <w:r>
        <w:t xml:space="preserve"> be complete, </w:t>
      </w:r>
      <w:r>
        <w:t xml:space="preserve">and </w:t>
      </w:r>
      <w:r>
        <w:rPr>
          <w:lang w:val="en-US" w:bidi="en-US" w:eastAsia="en-US"/>
        </w:rPr>
        <w:t xml:space="preserve">be </w:t>
      </w:r>
      <w:r>
        <w:t xml:space="preserve">accompanied by the appropriate application fee. By submitting an application, an applicant certifies, under penalty of perjury, that the information </w:t>
      </w:r>
      <w:r>
        <w:rPr>
          <w:lang w:val="en-US" w:bidi="en-US" w:eastAsia="en-US"/>
        </w:rPr>
        <w:t>on the application</w:t>
      </w:r>
      <w:r>
        <w:t xml:space="preserve"> is true and correct. An applicant may be required to clarify or provide additional information as needed to fully evaluate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rFonts w:ascii="Times New Roman" w:hAnsi="Times New Roman"/>
          <w:sz w:val="24"/>
        </w:rPr>
        <w:t>An applicant shall update the board administrator in writing within ten calendar days of any change in the information submitted on the application. The board administrator may accept changes to an application after ten calendar days upon good cause shown by the applicant</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 w:val="left" w:pos="6354" w:leader="none"/>
        </w:tabs>
        <w:jc w:val="both"/>
      </w:pPr>
      <w:r>
        <w:tab/>
      </w:r>
      <w:r>
        <w:rPr>
          <w:b w:val="1"/>
        </w:rPr>
        <w:t>Source:</w:t>
      </w:r>
      <w:r>
        <w:t xml:space="preserve"> 26 SDR 9, effective July 29, 1999; 29 SDR 95, effective January 6, 2003; 30 SDR 204, effective June 24, 2004; 33 SDR 70, effective June 20, 2006; 34 SDR 107, effective October 31, 2007; transferred from § 20:38:13:01, 38 SDR 121, effective January 16, 2012</w:t>
      </w:r>
      <w:r>
        <w:rPr>
          <w:lang w:val="en-US" w:bidi="en-US" w:eastAsia="en-US"/>
        </w:rPr>
        <w:t>; 47 SDR 73, effective December 21, 2020</w:t>
      </w:r>
      <w:r>
        <w:rPr>
          <w:lang w:val="en-US" w:bidi="en-US" w:eastAsia="en-US"/>
        </w:rPr>
        <w:t>; 51 SDR 56, effective November 20,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36-18A-22(1).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w:t>
      </w:r>
      <w:r>
        <w:t>36-18A-33.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New Roman" w:hAnsi="Times New Roman"/>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2012-02-02T19:58:00Z</dcterms:created>
  <cp:lastModifiedBy>Kelly Thompson</cp:lastModifiedBy>
  <dcterms:modified xsi:type="dcterms:W3CDTF">2024-11-14T22:42:30Z</dcterms:modified>
  <cp:revision>6</cp:revision>
</cp:coreProperties>
</file>