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20:38:29:03.  Deadlines.</w:t>
      </w:r>
      <w:r>
        <w:t xml:space="preserve"> </w:t>
      </w:r>
      <w:r>
        <w:rPr>
          <w:lang w:val="en-US" w:bidi="en-US" w:eastAsia="en-US"/>
        </w:rPr>
        <w:t xml:space="preserve">An </w:t>
      </w:r>
      <w:r>
        <w:rPr>
          <w:lang w:val="en-US" w:bidi="en-US" w:eastAsia="en-US"/>
        </w:rPr>
        <w:t>a</w:t>
      </w:r>
      <w:r>
        <w:t>pplication</w:t>
      </w:r>
      <w:r>
        <w:rPr>
          <w:lang w:val="en-US" w:bidi="en-US" w:eastAsia="en-US"/>
        </w:rPr>
        <w:t>,</w:t>
      </w:r>
      <w:r>
        <w:t xml:space="preserve"> complete with all required information and with payment of the required fee, must be </w:t>
      </w:r>
      <w:r>
        <w:rPr>
          <w:rFonts w:ascii="Times New Roman" w:hAnsi="Times New Roman"/>
          <w:sz w:val="24"/>
        </w:rPr>
        <w:t>submitted electronically using the method designated by the board administrator. An application for individual or business entity renewal or reinstatement is reviewed in the month received on the last day of the month. All other applications for individual or business licensure are reviewed and processed upon receipt</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 effective July 29, 1999; 29 SDR 95, effective January 6, 2003; 33 SDR 70, effective June 20, 2006; 34 SDR 107, effective October 31, 2007; transferred from § 20:38:13:03, 38 SDR 121, effective January 16, 2012; 40 SDR 121, effective January 7, 2014</w:t>
      </w:r>
      <w:r>
        <w:rPr>
          <w:lang w:val="en-US" w:bidi="en-US" w:eastAsia="en-US"/>
        </w:rPr>
        <w:t>; 43 SDR 85, effective December 12, 2016</w:t>
      </w:r>
      <w:r>
        <w:rPr>
          <w:lang w:val="en-US" w:bidi="en-US" w:eastAsia="en-US"/>
        </w:rPr>
        <w:t>; 51 SDR 56, effective November 20,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36-18A-22(1).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t>36-18A-33.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2024-11-14T22:42:53Z</dcterms:created>
  <cp:lastModifiedBy>Kelly Thompson</cp:lastModifiedBy>
  <dcterms:modified xsi:type="dcterms:W3CDTF">2024-11-14T22:44:53Z</dcterms:modified>
  <cp:revision>2</cp:revision>
</cp:coreProperties>
</file>