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20:38:32:05.  Landscape architecture.</w:t>
      </w:r>
      <w:r>
        <w:t xml:space="preserve"> An applicant for licensure as a Landscape Architect shall pass the </w:t>
      </w:r>
      <w:r>
        <w:t>LARE</w:t>
      </w:r>
      <w:r>
        <w:t>, which is prepared and scored by CLARB.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An applicant may apply</w:t>
      </w:r>
      <w:r>
        <w:rPr>
          <w:lang w:val="en-US" w:bidi="en-US" w:eastAsia="en-US"/>
        </w:rPr>
        <w:t xml:space="preserve"> to </w:t>
      </w:r>
      <w:r>
        <w:rPr>
          <w:lang w:val="en-US" w:bidi="en-US" w:eastAsia="en-US"/>
        </w:rPr>
        <w:t>CLARB</w:t>
      </w:r>
      <w:r>
        <w:t xml:space="preserve"> for admission to the examination upon satisfaction of the landscape architecture education and experience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26 SDR 9, effective July 29, 1999; transferred from § 20:38:17:11, 38 SDR 121, effective January 16, 2012</w:t>
      </w:r>
      <w:r>
        <w:rPr>
          <w:lang w:val="en-US" w:bidi="en-US" w:eastAsia="en-US"/>
        </w:rPr>
        <w:t>; 47 SDR 73, effective December 2</w:t>
      </w:r>
      <w:r>
        <w:rPr>
          <w:lang w:val="en-US" w:bidi="en-US" w:eastAsia="en-US"/>
        </w:rPr>
        <w:t>1, 2020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36-18A-22(3), 36-18A-30.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36-18A-30.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2012-02-03T15:07:00Z</dcterms:created>
  <cp:lastModifiedBy>Rhonda Purkapile</cp:lastModifiedBy>
  <dcterms:modified xsi:type="dcterms:W3CDTF">2020-12-15T22:27:02Z</dcterms:modified>
  <cp:revision>3</cp:revision>
</cp:coreProperties>
</file>