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BC8" w:rsidRDefault="003A1BC8" w:rsidP="008F7A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8E3717">
        <w:rPr>
          <w:b/>
        </w:rPr>
        <w:t>20:38:33:06.  Reactivation fee.</w:t>
      </w:r>
      <w:r>
        <w:t xml:space="preserve"> Reactivation of individual license from inactive status, $80.</w:t>
      </w:r>
    </w:p>
    <w:p w:rsidR="003A1BC8" w:rsidRDefault="003A1BC8" w:rsidP="008F7A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A1BC8" w:rsidRDefault="003A1BC8" w:rsidP="008F7A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8E3717">
        <w:rPr>
          <w:b/>
        </w:rPr>
        <w:t>Source:</w:t>
      </w:r>
      <w:r>
        <w:t xml:space="preserve"> 38 SDR 121, effective January 16, 2012.</w:t>
      </w:r>
    </w:p>
    <w:p w:rsidR="003A1BC8" w:rsidRDefault="003A1BC8" w:rsidP="008F7A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8E3717">
        <w:rPr>
          <w:b/>
        </w:rPr>
        <w:t>General Authority:</w:t>
      </w:r>
      <w:r>
        <w:t xml:space="preserve"> SDCL 36-18A-22(2), 36-18A-42.</w:t>
      </w:r>
    </w:p>
    <w:p w:rsidR="003A1BC8" w:rsidRDefault="003A1BC8" w:rsidP="008F7A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8E3717">
        <w:rPr>
          <w:b/>
        </w:rPr>
        <w:t>Law Implemented:</w:t>
      </w:r>
      <w:r>
        <w:t xml:space="preserve"> SDCL 36-18A-42.</w:t>
      </w:r>
    </w:p>
    <w:p w:rsidR="003A1BC8" w:rsidRDefault="003A1BC8" w:rsidP="008F7A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A1BC8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A6C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A1BC8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E3717"/>
    <w:rsid w:val="008F2D5C"/>
    <w:rsid w:val="008F6F10"/>
    <w:rsid w:val="008F7A6C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A6C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2012-02-03T15:14:00Z</dcterms:created>
  <dcterms:modified xsi:type="dcterms:W3CDTF">2012-02-03T15:14:00Z</dcterms:modified>
</cp:coreProperties>
</file>