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rPr>
          <w:b w:val="1"/>
        </w:rPr>
        <w:tab/>
        <w:t>20:38:39:12.  Board action on petition.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26 SDR 9, effective July 29, 1999; transferred from § 20:38:26:02, 29 SDR 95, effective January 6, 2003; transferred from § 20:38:24:13, 38 SDR 121, effective January 16, 2012</w:t>
      </w:r>
      <w:r>
        <w:rPr>
          <w:lang w:val="en-US" w:bidi="en-US" w:eastAsia="en-US"/>
        </w:rPr>
        <w:t>; 51 SDR 56, effective November 20, 2024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spacing w:lineRule="auto" w:line="240" w:after="0" w:beforeAutospacing="0" w:afterAutospacing="0"/>
      <w:jc w:val="both"/>
    </w:pPr>
    <w:rPr>
      <w:rFonts w:ascii="Times New Roman" w:hAnsi="Times New Roman"/>
      <w:sz w:val="24"/>
      <w:szCs w:val="20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>
      <w:rFonts w:ascii="Times New Roman" w:hAnsi="Times New Roman"/>
      <w:sz w:val="24"/>
      <w:szCs w:val="20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2012-02-03T16:07:00Z</dcterms:created>
  <cp:lastModifiedBy>Kelly Thompson</cp:lastModifiedBy>
  <dcterms:modified xsi:type="dcterms:W3CDTF">2024-11-15T21:16:34Z</dcterms:modified>
  <cp:revision>3</cp:revision>
</cp:coreProperties>
</file>