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6D3B96EE"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20:78:05:04.  Scheduling of hearing.</w:t>
      </w:r>
      <w:r>
        <w:rPr>
          <w:rFonts w:ascii="Times New Roman" w:hAnsi="Times New Roman"/>
          <w:sz w:val="24"/>
        </w:rPr>
        <w:t xml:space="preserve"> Upon receipt of a petition for hearing, the board president may appoint an examiner to conduct the contested case hearing, or may schedule the contested case hearing before the board, as authorized by applicable statutes.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38 SDR 127, effective February 7, 2012</w:t>
      </w:r>
      <w:r>
        <w:rPr>
          <w:rFonts w:ascii="Times New Roman" w:hAnsi="Times New Roman"/>
          <w:sz w:val="24"/>
        </w:rPr>
        <w:t>; 43 SDR 57, effective October 20, 2016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36-4-35, 36-4A-42, 36-4B-35,</w:t>
      </w:r>
      <w:r>
        <w:rPr>
          <w:rFonts w:ascii="Times New Roman" w:hAnsi="Times New Roman"/>
          <w:sz w:val="24"/>
          <w:lang w:val="en-US" w:bidi="en-US" w:eastAsia="en-US"/>
        </w:rPr>
        <w:t xml:space="preserve"> 36-9B-7,</w:t>
      </w:r>
      <w:r>
        <w:rPr>
          <w:rFonts w:ascii="Times New Roman" w:hAnsi="Times New Roman"/>
          <w:sz w:val="24"/>
        </w:rPr>
        <w:t xml:space="preserve"> 36-10-36, 36-10B-3, 36-29-17, 36-31-13, 36-36-12.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36-4-31.6, 36-4A-39, 36-4B-32,</w:t>
      </w:r>
      <w:r>
        <w:rPr>
          <w:rFonts w:ascii="Times New Roman" w:hAnsi="Times New Roman"/>
          <w:sz w:val="24"/>
          <w:lang w:val="en-US" w:bidi="en-US" w:eastAsia="en-US"/>
        </w:rPr>
        <w:t xml:space="preserve"> 36-9B-8,</w:t>
      </w:r>
      <w:r>
        <w:rPr>
          <w:rFonts w:ascii="Times New Roman" w:hAnsi="Times New Roman"/>
          <w:sz w:val="24"/>
        </w:rPr>
        <w:t xml:space="preserve"> 36-10-43, 36-10-45, 36-10-46, 36-29-19, 36-29-20, 36-29-21, 36-29-22, 36-31-15, 36-31-16, 36-36-13.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