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1F0AF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20:78:05:08.  Assessment of costs of disciplinary hearings.</w:t>
      </w:r>
      <w:r>
        <w:rPr>
          <w:rFonts w:ascii="Times New Roman" w:hAnsi="Times New Roman"/>
          <w:sz w:val="24"/>
        </w:rPr>
        <w:t xml:space="preserve"> The board may assess its costs associated with a contested case proceeding resulting in disciplinary action, against a licensee upon motion by the executive secretary. If requesting the assessment of costs, the executive secretary shall present a statement of costs to the board or hearing examiner at the time it submits proposed findings of fact and conclusions of law.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127, effective February 7, 2012</w:t>
      </w:r>
      <w:r>
        <w:rPr>
          <w:rFonts w:ascii="Times New Roman" w:hAnsi="Times New Roman"/>
          <w:sz w:val="24"/>
        </w:rPr>
        <w:t>; 43 SDR 57, effective October 20,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36-4-35, 36-4A-42, 36-4B-35,</w:t>
      </w:r>
      <w:r>
        <w:rPr>
          <w:rFonts w:ascii="Times New Roman" w:hAnsi="Times New Roman"/>
          <w:sz w:val="24"/>
          <w:lang w:val="en-US" w:bidi="en-US" w:eastAsia="en-US"/>
        </w:rPr>
        <w:t xml:space="preserve"> 36-9B-7,</w:t>
      </w:r>
      <w:r>
        <w:rPr>
          <w:rFonts w:ascii="Times New Roman" w:hAnsi="Times New Roman"/>
          <w:sz w:val="24"/>
        </w:rPr>
        <w:t xml:space="preserve"> 36-10-36, 36-10B-3, 36-29-17, 36-31-13, 36-36-12.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1-26-29.1.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