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A177A89" Type="http://schemas.openxmlformats.org/officeDocument/2006/relationships/officeDocument" Target="/word/document.xml" /><Relationship Id="coreR6A177A8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41:09:18:07.  Release of wildlife.</w:t>
      </w:r>
      <w:r>
        <w:t xml:space="preserve"> No successfully rehabilitated animal may be released without approval from the department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39 SDR 33, effective September 5, 2012</w:t>
      </w:r>
      <w:r>
        <w:rPr>
          <w:rFonts w:ascii="Times New Roman" w:hAnsi="Times New Roman"/>
          <w:sz w:val="24"/>
        </w:rPr>
        <w:t>; 47 SDR 27, effective September 15,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41-2-18(1)(2)(3)(20).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41-2-18(1)(2)(3)(20).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2012-08-31T20:24:00Z</dcterms:created>
  <cp:lastModifiedBy>Rhonda Purkapile</cp:lastModifiedBy>
  <dcterms:modified xsi:type="dcterms:W3CDTF">2020-09-11T19:51:39Z</dcterms:modified>
  <cp:revision>3</cp:revision>
</cp:coreProperties>
</file>