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50164596" Type="http://schemas.openxmlformats.org/officeDocument/2006/relationships/officeDocument" Target="/word/document.xml" /><Relationship Id="coreR50164596"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41:09:18:11.  Suspension and revocation of permits.</w:t>
      </w:r>
      <w:r>
        <w:t xml:space="preserve"> The department may</w:t>
      </w:r>
      <w:r>
        <w:t xml:space="preserve"> revoke or suspend a wildlife rehabilitator for any violation of the provisions of this chapter or any other state or federal wildlife laws and regulations committed by the permitted wildlife rehabilitator or any person involved in the operation of the wildlife rehabilitation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39 SDR 33, effective September 5, 2012</w:t>
      </w:r>
      <w:r>
        <w:rPr>
          <w:rFonts w:ascii="Times New Roman" w:hAnsi="Times New Roman"/>
          <w:sz w:val="24"/>
        </w:rPr>
        <w:t>; 47 SDR 27, effective September 15,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41-2-18(1)(2)(3).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41-2-18(1)(2)(3).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2012-08-31T20:25:00Z</dcterms:created>
  <cp:lastModifiedBy>Rhonda Purkapile</cp:lastModifiedBy>
  <dcterms:modified xsi:type="dcterms:W3CDTF">2020-09-11T19:53:47Z</dcterms:modified>
  <cp:revision>3</cp:revision>
</cp:coreProperties>
</file>