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0DAF" w:rsidRDefault="009D0DAF" w:rsidP="006B4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08222E">
        <w:rPr>
          <w:b/>
        </w:rPr>
        <w:t>50:02:04:12.  Physical addressing costs allowed or disallowed as nonrecurring costs.</w:t>
      </w:r>
      <w:r>
        <w:t xml:space="preserve"> 911 surcharge funds may be used to pay initial one-time costs associated with a county or municipality issuing physical addresses for the purpose of implementing Enhanced 911 to include: street name signs, map books, and wages related to addressing. After Enhanced 911 has been implemented in a county, no 911 surcharge funds may be used to pay on-going maintenance costs related to addressing, street name signs, or map books.</w:t>
      </w:r>
    </w:p>
    <w:p w:rsidR="009D0DAF" w:rsidRDefault="009D0DAF" w:rsidP="006B4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D0DAF" w:rsidRDefault="009D0DAF" w:rsidP="006B4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08222E">
        <w:rPr>
          <w:b/>
        </w:rPr>
        <w:t>Source:</w:t>
      </w:r>
      <w:r>
        <w:t xml:space="preserve"> 39 SDR 105, effective December 10, 2012.</w:t>
      </w:r>
    </w:p>
    <w:p w:rsidR="009D0DAF" w:rsidRDefault="009D0DAF" w:rsidP="006B4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08222E">
        <w:rPr>
          <w:b/>
        </w:rPr>
        <w:t>General Authority:</w:t>
      </w:r>
      <w:r>
        <w:t xml:space="preserve"> SDCL 34-45-18.2.</w:t>
      </w:r>
    </w:p>
    <w:p w:rsidR="009D0DAF" w:rsidRDefault="009D0DAF" w:rsidP="006B4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08222E">
        <w:rPr>
          <w:b/>
        </w:rPr>
        <w:t>Law Implemented:</w:t>
      </w:r>
      <w:r>
        <w:t xml:space="preserve"> SDCL 34-45-18.2, 34-45-20(5).</w:t>
      </w:r>
    </w:p>
    <w:p w:rsidR="009D0DAF" w:rsidRDefault="009D0DAF" w:rsidP="006B47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9D0DA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B470F"/>
    <w:rsid w:val="0008222E"/>
    <w:rsid w:val="00086AE4"/>
    <w:rsid w:val="006B470F"/>
    <w:rsid w:val="008B09BA"/>
    <w:rsid w:val="009D0DAF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97</Words>
  <Characters>554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2012-12-12T17:00:00Z</dcterms:created>
  <dcterms:modified xsi:type="dcterms:W3CDTF">2012-12-12T17:01:00Z</dcterms:modified>
</cp:coreProperties>
</file>