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EF4B95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20:42:08:03.01.  Senior instructor education exception.</w:t>
      </w:r>
      <w:r>
        <w:t xml:space="preserve"> </w:t>
      </w:r>
      <w:r>
        <w:rPr>
          <w:lang w:val="en-US" w:bidi="en-US" w:eastAsia="en-US"/>
        </w:rPr>
        <w:t>Rep</w:t>
      </w:r>
      <w:r>
        <w:rPr>
          <w:lang w:val="en-US" w:bidi="en-US" w:eastAsia="en-US"/>
        </w:rPr>
        <w:t>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129, effective January 28, 2013</w:t>
      </w:r>
      <w:r>
        <w:rPr>
          <w:lang w:val="en-US" w:bidi="en-US" w:eastAsia="en-US"/>
        </w:rPr>
        <w:t>; 43 SDR 176, effective July 3,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