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b/>
        </w:rPr>
      </w:pPr>
      <w:r w:rsidRPr="00B20ECF">
        <w:tab/>
      </w:r>
      <w:r w:rsidRPr="00B20ECF">
        <w:rPr>
          <w:b/>
        </w:rPr>
        <w:t>20:06:56:01.  Definitions.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(1)  "Actuarial value," a measure of the percentage of expected health care costs a health plan will cover for a standard population and can be considered a general summary measure of health plan generosity;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(2)  "Actuarial value calculator," used to determine the actuarial value of applicable plans. It is developed using a set of claims data weighted to reflect the standard population projected to enroll in the individual and small group markets for the identified year of enrollment;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(3)  "Base-benchmark plan," the plan that is selected by the state from the options described in 45 CFR §156.100(a), or a default benchmark plan, as described in 45 CFR §156.100(c), prior to any adjustments made pursuant to the benchmark standards described in 45 CFR §156.110;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(4)  "De minimis variation</w:t>
      </w:r>
      <w:r>
        <w:t>,</w:t>
      </w:r>
      <w:r w:rsidRPr="00B20ECF">
        <w:t>" is the allowable variation in the actuarial value of a health plan that does not result in a material difference in the true dollar value of the health plan is +/-2 percentage points;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(5)  "Essential health benefits benchmark plan," is the standardized set of essential health benefits that must be met by a qualified health plan;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(6)  "HHS," United States Department of Health and Human Services;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  <w:t>(7)  "Premium adjustment percentage," the percentage by which the average per capita premium for health insurance coverage for the preceding calendar year exceeds such average per capita premium for health insurance.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</w:r>
      <w:r w:rsidRPr="00B20ECF">
        <w:rPr>
          <w:b/>
        </w:rPr>
        <w:t>Source:</w:t>
      </w:r>
      <w:r w:rsidRPr="00B20ECF">
        <w:t xml:space="preserve"> 39 SDR 203, effective June 10, 2013.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</w:r>
      <w:r w:rsidRPr="00B20ECF">
        <w:rPr>
          <w:b/>
        </w:rPr>
        <w:t>General Authority:</w:t>
      </w:r>
      <w:r w:rsidRPr="00B20ECF">
        <w:t xml:space="preserve"> SDCL 58-17-87.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B20ECF">
        <w:tab/>
      </w:r>
      <w:r w:rsidRPr="00B20ECF">
        <w:rPr>
          <w:b/>
        </w:rPr>
        <w:t>Law Implemented:</w:t>
      </w:r>
      <w:r w:rsidRPr="00B20ECF">
        <w:t xml:space="preserve"> SDCL 58-17-87.</w:t>
      </w:r>
    </w:p>
    <w:p w:rsidR="009506E7" w:rsidRPr="00B20ECF" w:rsidRDefault="009506E7" w:rsidP="00B20EC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sectPr w:rsidR="009506E7" w:rsidRPr="00B20EC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20ECF"/>
    <w:rsid w:val="00086AE4"/>
    <w:rsid w:val="00477B21"/>
    <w:rsid w:val="008B09BA"/>
    <w:rsid w:val="00934D4C"/>
    <w:rsid w:val="009506E7"/>
    <w:rsid w:val="009B13CF"/>
    <w:rsid w:val="00A13914"/>
    <w:rsid w:val="00B20E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234</Words>
  <Characters>1336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dcterms:created xsi:type="dcterms:W3CDTF">2013-06-06T15:00:00Z</dcterms:created>
  <dcterms:modified xsi:type="dcterms:W3CDTF">2013-06-13T14:08:00Z</dcterms:modified>
</cp:coreProperties>
</file>