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</w:r>
      <w:r w:rsidRPr="00BA42E8">
        <w:rPr>
          <w:b/>
        </w:rPr>
        <w:t>20:06:56:04.  Substantially equal benefits.</w:t>
      </w:r>
      <w:r w:rsidRPr="00BA42E8">
        <w:t xml:space="preserve"> Plans must provide for benefits that are substantially equal to the essential health benefits-benchmark plan including: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  <w:t>(1)  Covered benefits listed in § 20:06:56:02;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  <w:t>(2)  Limitations on coverage including coverage of benefit amount, duration, and scope; and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  <w:t>(3)  Prescription drug benefits described in § 20:06:56:08.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</w:r>
      <w:r w:rsidRPr="00BA42E8">
        <w:rPr>
          <w:b/>
        </w:rPr>
        <w:t>Source:</w:t>
      </w:r>
      <w:r w:rsidRPr="00BA42E8">
        <w:t xml:space="preserve"> 39 SDR 203, effective June 10, 2013; 40 SDR 102, effective December 3, 2013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</w:r>
      <w:r w:rsidRPr="00BA42E8">
        <w:rPr>
          <w:b/>
        </w:rPr>
        <w:t>General Authority:</w:t>
      </w:r>
      <w:r w:rsidRPr="00BA42E8">
        <w:t xml:space="preserve"> SDCL 58-17-87, 58-18-79.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BA42E8">
        <w:tab/>
      </w:r>
      <w:r w:rsidRPr="00BA42E8">
        <w:rPr>
          <w:b/>
        </w:rPr>
        <w:t>Law Implemented:</w:t>
      </w:r>
      <w:r w:rsidRPr="00BA42E8">
        <w:t xml:space="preserve"> SDCL 58-17-87, 58-18-79, 58-18-80.</w:t>
      </w:r>
    </w:p>
    <w:p w:rsidR="006251EB" w:rsidRPr="00BA42E8" w:rsidRDefault="006251EB" w:rsidP="00BA42E8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6251EB" w:rsidRPr="00BA42E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42E8"/>
    <w:rsid w:val="00086AE4"/>
    <w:rsid w:val="00477B21"/>
    <w:rsid w:val="006251EB"/>
    <w:rsid w:val="008B09BA"/>
    <w:rsid w:val="009B13CF"/>
    <w:rsid w:val="00BA42E8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2013-11-22T15:53:00Z</dcterms:created>
  <dcterms:modified xsi:type="dcterms:W3CDTF">2013-11-22T15:53:00Z</dcterms:modified>
</cp:coreProperties>
</file>