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676" w:rsidRDefault="00D33676" w:rsidP="0047002D">
      <w:r>
        <w:tab/>
      </w:r>
      <w:r w:rsidRPr="00A44241">
        <w:rPr>
          <w:b/>
        </w:rPr>
        <w:t>20:06:56:12.  Accreditation.</w:t>
      </w:r>
      <w:r>
        <w:t xml:space="preserve"> A qualified health plan must be accredited in the following categories by an accrediting entity recognized by HHS prior to certification:</w:t>
      </w:r>
    </w:p>
    <w:p w:rsidR="00D33676" w:rsidRDefault="00D33676" w:rsidP="0047002D"/>
    <w:p w:rsidR="00D33676" w:rsidRDefault="00D33676" w:rsidP="0047002D">
      <w:r>
        <w:tab/>
        <w:t>(1)  Clinical quality measures, such as the healthcare effectiveness Data and Information Set;</w:t>
      </w:r>
    </w:p>
    <w:p w:rsidR="00D33676" w:rsidRDefault="00D33676" w:rsidP="0047002D">
      <w:r>
        <w:tab/>
        <w:t>(2)  Patient experience ratings on a standardized Consumer Assessment of Healthcare Providers and Systems survey;</w:t>
      </w:r>
    </w:p>
    <w:p w:rsidR="00D33676" w:rsidRDefault="00D33676" w:rsidP="0047002D">
      <w:r>
        <w:tab/>
        <w:t>(3)  Consumer access;</w:t>
      </w:r>
    </w:p>
    <w:p w:rsidR="00D33676" w:rsidRDefault="00D33676" w:rsidP="0047002D">
      <w:r>
        <w:tab/>
        <w:t>(4)  Utilization management;</w:t>
      </w:r>
    </w:p>
    <w:p w:rsidR="00D33676" w:rsidRDefault="00D33676" w:rsidP="0047002D">
      <w:r>
        <w:tab/>
        <w:t>(5)  Quality assurance;</w:t>
      </w:r>
    </w:p>
    <w:p w:rsidR="00D33676" w:rsidRDefault="00D33676" w:rsidP="0047002D">
      <w:r>
        <w:tab/>
        <w:t>(6)  Provider credentialing;</w:t>
      </w:r>
    </w:p>
    <w:p w:rsidR="00D33676" w:rsidRDefault="00D33676" w:rsidP="0047002D">
      <w:r>
        <w:tab/>
        <w:t>(7)  Complaints and appeals;</w:t>
      </w:r>
    </w:p>
    <w:p w:rsidR="00D33676" w:rsidRDefault="00D33676" w:rsidP="0047002D">
      <w:r>
        <w:tab/>
        <w:t>(8)  Network adequacy and access; and</w:t>
      </w:r>
    </w:p>
    <w:p w:rsidR="00D33676" w:rsidRDefault="00D33676" w:rsidP="0047002D">
      <w:r>
        <w:tab/>
        <w:t>(9)  Patient information programs.</w:t>
      </w:r>
    </w:p>
    <w:p w:rsidR="00D33676" w:rsidRDefault="00D33676" w:rsidP="0047002D"/>
    <w:p w:rsidR="00D33676" w:rsidRDefault="00D33676" w:rsidP="0047002D">
      <w:r>
        <w:tab/>
      </w:r>
      <w:r w:rsidRPr="00A44241">
        <w:rPr>
          <w:b/>
        </w:rPr>
        <w:t>Source:</w:t>
      </w:r>
      <w:r>
        <w:t xml:space="preserve"> 39 SDR 203, effective June 10, 2013.</w:t>
      </w:r>
    </w:p>
    <w:p w:rsidR="00D33676" w:rsidRDefault="00D33676" w:rsidP="0047002D">
      <w:r>
        <w:tab/>
      </w:r>
      <w:r w:rsidRPr="00A44241">
        <w:rPr>
          <w:b/>
        </w:rPr>
        <w:t>General Authority:</w:t>
      </w:r>
      <w:r>
        <w:t xml:space="preserve"> SDCL 58-17-87, 58-18-79.</w:t>
      </w:r>
    </w:p>
    <w:p w:rsidR="00D33676" w:rsidRDefault="00D33676" w:rsidP="0047002D">
      <w:r>
        <w:tab/>
      </w:r>
      <w:r w:rsidRPr="00A44241">
        <w:rPr>
          <w:b/>
        </w:rPr>
        <w:t>Law Implemented:</w:t>
      </w:r>
      <w:r>
        <w:t xml:space="preserve"> SDCL 58-17-87, 58-18-79, 58-18-80.</w:t>
      </w:r>
    </w:p>
    <w:p w:rsidR="00D33676" w:rsidRDefault="00D33676" w:rsidP="0047002D"/>
    <w:sectPr w:rsidR="00D3367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002D"/>
    <w:rsid w:val="00086AE4"/>
    <w:rsid w:val="0047002D"/>
    <w:rsid w:val="00477B21"/>
    <w:rsid w:val="008B09BA"/>
    <w:rsid w:val="009B13CF"/>
    <w:rsid w:val="00A44241"/>
    <w:rsid w:val="00A73EBD"/>
    <w:rsid w:val="00BD2079"/>
    <w:rsid w:val="00D33676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110</Words>
  <Characters>629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2013-06-06T15:58:00Z</dcterms:created>
  <dcterms:modified xsi:type="dcterms:W3CDTF">2013-06-13T14:13:00Z</dcterms:modified>
</cp:coreProperties>
</file>