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23BC">
        <w:tab/>
      </w:r>
      <w:r w:rsidRPr="004E23BC">
        <w:rPr>
          <w:b/>
        </w:rPr>
        <w:t>20:06:5</w:t>
      </w:r>
      <w:r>
        <w:rPr>
          <w:b/>
        </w:rPr>
        <w:t>5</w:t>
      </w:r>
      <w:r w:rsidRPr="004E23BC">
        <w:rPr>
          <w:b/>
        </w:rPr>
        <w:t>:39.  Essential community providers.</w:t>
      </w:r>
      <w:r w:rsidRPr="004E23BC">
        <w:t xml:space="preserve"> A qualified health plan issuer must have a sufficient number and geographic distribution of essential community providers, where available, to ensure reasonable and timely access to a broad range of such providers for low-income, medically underserved individuals in the qualified health plan's service area.</w:t>
      </w: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23BC">
        <w:tab/>
        <w:t>A qualified health plan issuer that provides a majority of covered professional services through physicians employed by the issuer or through a single contracted medical group may, with approval from the director, as an alternative to the standard set forth above comply as follows:</w:t>
      </w: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23BC">
        <w:tab/>
        <w:t>A qualified health plan issuer must have a sufficient number and geographic distribution of employed providers and hospital facilities, or providers of its contracted medical group and hospital facilities to ensure reasonable and timely access for low-income, medically underserved individuals in the qualified health plans service area.</w:t>
      </w: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23BC">
        <w:tab/>
        <w:t>Nothing in this section shall be construed to require any qualified health plan to provide coverage for any specific medical procedure provided by the essential community provider.</w:t>
      </w: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23BC">
        <w:tab/>
      </w:r>
      <w:r w:rsidRPr="004E23BC">
        <w:rPr>
          <w:b/>
        </w:rPr>
        <w:t>Source:</w:t>
      </w:r>
      <w:r w:rsidRPr="004E23BC">
        <w:t xml:space="preserve"> 39 SDR 203, adopted June 10, 2013, effective January 1, 2014.</w:t>
      </w: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23BC">
        <w:tab/>
      </w:r>
      <w:r w:rsidRPr="004E23BC">
        <w:rPr>
          <w:b/>
        </w:rPr>
        <w:t>General Authority:</w:t>
      </w:r>
      <w:r w:rsidRPr="004E23BC">
        <w:t xml:space="preserve"> SDCL 58-17-87, 58-18-79.</w:t>
      </w: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23BC">
        <w:tab/>
      </w:r>
      <w:r w:rsidRPr="004E23BC">
        <w:rPr>
          <w:b/>
        </w:rPr>
        <w:t>Law Implemented:</w:t>
      </w:r>
      <w:r w:rsidRPr="004E23BC">
        <w:t xml:space="preserve"> SDCL 58-17-87, 58-18-79, 58-18-80.</w:t>
      </w:r>
    </w:p>
    <w:p w:rsidR="00C902CD" w:rsidRPr="004E23BC" w:rsidRDefault="00C902CD" w:rsidP="004E23B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C902CD" w:rsidRPr="004E23B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23BC"/>
    <w:rsid w:val="00086AE4"/>
    <w:rsid w:val="00477B21"/>
    <w:rsid w:val="004E23BC"/>
    <w:rsid w:val="007A342F"/>
    <w:rsid w:val="008B09BA"/>
    <w:rsid w:val="009B13CF"/>
    <w:rsid w:val="00BD2079"/>
    <w:rsid w:val="00C902CD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199</Words>
  <Characters>1135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2013-06-12T20:02:00Z</dcterms:created>
  <dcterms:modified xsi:type="dcterms:W3CDTF">2013-12-30T18:57:00Z</dcterms:modified>
</cp:coreProperties>
</file>