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D4FEAC9" Type="http://schemas.openxmlformats.org/officeDocument/2006/relationships/officeDocument" Target="/word/document.xml" /><Relationship Id="coreR2D4FEAC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ab/>
      </w:r>
      <w:r>
        <w:rPr>
          <w:b w:val="1"/>
        </w:rPr>
        <w:t>20:06:55:49.  Annual open enrollment period.</w:t>
      </w:r>
      <w:r>
        <w:t xml:space="preserve"> </w:t>
      </w:r>
      <w:r>
        <w:rPr>
          <w:lang w:val="en-US" w:bidi="en-US" w:eastAsia="en-US"/>
        </w:rPr>
        <w:t>All health insurance</w:t>
      </w:r>
      <w:r>
        <w:t xml:space="preserve"> issuers must provide for an annual open enrollment period for the individual market inside the Exchange</w:t>
      </w:r>
      <w:r>
        <w:t>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ab/>
      </w:r>
      <w:r>
        <w:rPr>
          <w:b w:val="1"/>
        </w:rPr>
        <w:t>Source:</w:t>
      </w:r>
      <w:r>
        <w:t xml:space="preserve"> 39 SDR 203, adopted June 10, 2013, effective January 1, 2014; 41 SDR 93, effective December 3, 2014</w:t>
      </w:r>
      <w:r>
        <w:t>; 45 SDR 45, effective October 10, 2018</w:t>
      </w:r>
      <w:r>
        <w:t>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ab/>
      </w:r>
      <w:r>
        <w:rPr>
          <w:b w:val="1"/>
        </w:rPr>
        <w:t>General Authority:</w:t>
      </w:r>
      <w:r>
        <w:t xml:space="preserve"> SDCL 58-17-87, 58-18-79.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ab/>
      </w:r>
      <w:r>
        <w:rPr>
          <w:b w:val="1"/>
        </w:rPr>
        <w:t>Law Implemented:</w:t>
      </w:r>
      <w:r>
        <w:t xml:space="preserve"> SDCL 58-17-87, 58-18-79, 58-18-80.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2014-11-25T21:50:00Z</dcterms:created>
  <cp:lastModifiedBy>Rhonda Purkapile</cp:lastModifiedBy>
  <dcterms:modified xsi:type="dcterms:W3CDTF">2018-10-02T21:05:37Z</dcterms:modified>
  <cp:revision>3</cp:revision>
</cp:coreProperties>
</file>