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67:42:16:09.  Reporting incidents or changes in circumstances.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39 SDR 220, effective June 27, 2013</w:t>
      </w:r>
      <w:r>
        <w:rPr>
          <w:lang w:val="en-US" w:bidi="en-US" w:eastAsia="en-US"/>
        </w:rPr>
        <w:t>; 49 SDR 124, eff</w:t>
      </w:r>
      <w:r>
        <w:rPr>
          <w:lang w:val="en-US" w:bidi="en-US" w:eastAsia="en-US"/>
        </w:rPr>
        <w:t>ective July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2013-06-27T22:41:00Z</dcterms:created>
  <cp:lastModifiedBy>Kelly Thompson</cp:lastModifiedBy>
  <dcterms:modified xsi:type="dcterms:W3CDTF">2023-07-05T19:45:33Z</dcterms:modified>
  <cp:revision>4</cp:revision>
</cp:coreProperties>
</file>