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20:79:05:01.  Review by the board.</w:t>
      </w:r>
      <w:r>
        <w:t xml:space="preserve"> </w:t>
      </w:r>
      <w:r>
        <w:rPr>
          <w:lang w:val="en-US" w:bidi="en-US" w:eastAsia="en-US"/>
        </w:rPr>
        <w:t>Repealed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39 SDR 220, effective June 27, 2013</w:t>
      </w:r>
      <w:r>
        <w:rPr>
          <w:lang w:val="en-US" w:bidi="en-US" w:eastAsia="en-US"/>
        </w:rPr>
        <w:t>; 50 SDR 23, effective Septe</w:t>
      </w:r>
      <w:r>
        <w:rPr>
          <w:lang w:val="en-US" w:bidi="en-US" w:eastAsia="en-US"/>
        </w:rPr>
        <w:t>mber 3, 2023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both"/>
    </w:pPr>
    <w:rPr>
      <w:sz w:val="24"/>
      <w:szCs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2013-07-02T14:59:00Z</dcterms:created>
  <cp:lastModifiedBy>Kelly Thompson</cp:lastModifiedBy>
  <dcterms:modified xsi:type="dcterms:W3CDTF">2023-08-25T19:43:51Z</dcterms:modified>
  <cp:revision>3</cp:revision>
</cp:coreProperties>
</file>