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0E751FC" Type="http://schemas.openxmlformats.org/officeDocument/2006/relationships/officeDocument" Target="/word/document.xml" /><Relationship Id="coreR40E751F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20:06:57:08.  Reserves and stop-loss coverage.</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(1)  A multiple employer trust shall have at all times aggregate excess stop-loss coverage providing the multiple employer trust with coverage</w:t>
      </w:r>
      <w:r>
        <w:rPr>
          <w:lang w:val="en-US" w:bidi="en-US" w:eastAsia="en-US"/>
        </w:rPr>
        <w:t xml:space="preserve"> for risks in this s</w:t>
      </w:r>
      <w:r>
        <w:rPr>
          <w:lang w:val="en-US" w:bidi="en-US" w:eastAsia="en-US"/>
        </w:rPr>
        <w:t>tate</w:t>
      </w:r>
      <w:r>
        <w:t xml:space="preserve"> with an attachment point which is not greater than:</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(a)  120 percent of actuarially projected losses on a calendar-year basis; 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ab/>
        <w:t>(b)  Five percent of annual expected claims for purposes of this section and shall provide for adjustments in the amount of that percentage as may be necessary to carry out the purposes of this section as determined by sound actuarial principles;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(2)  A multiple employer trust shall establish and maintain appropriate loss and loss adjustment reserves determined by sound actuarial principles;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(3)  A multiple employer trust shall set premiums to fund at least 100 percent of the multiple employer trust's actuarially projected losses plus all other costs of the multiple employer trust;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t>(4)  All coverage obtained pursuant to this section shall contain a provision allowing for at least 90 days' notice to the director upon cancellation or nonrenewal of the contract;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No contract or policy of per occurrence or aggregate excess insurance may be recognized in considering the ability of an applicant to fulfill its financial obligations under this section, unless such contract or policy is issued by a company that is:</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Licensed to transact business in this state; or</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Authorized to do business in this state as a</w:t>
      </w:r>
      <w:r>
        <w:t xml:space="preserve"> reinsurer</w:t>
      </w:r>
      <w:r>
        <w:rPr>
          <w:lang w:val="en-US" w:bidi="en-US" w:eastAsia="en-US"/>
        </w:rPr>
        <w:t xml:space="preserve"> in one of the permitted methods regarding credit for reinsurance as provided in </w:t>
      </w:r>
      <w:r>
        <w:rPr>
          <w:lang w:val="en-US" w:bidi="en-US" w:eastAsia="en-US"/>
        </w:rPr>
        <w:t xml:space="preserve">SDCL </w:t>
      </w:r>
      <w:r>
        <w:rPr>
          <w:lang w:val="en-US" w:bidi="en-US" w:eastAsia="en-US"/>
        </w:rPr>
        <w:t>c</w:t>
      </w:r>
      <w:r>
        <w:rPr>
          <w:lang w:val="en-US" w:bidi="en-US" w:eastAsia="en-US"/>
        </w:rPr>
        <w:t>hapter 58-14</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Source:</w:t>
      </w:r>
      <w:r>
        <w:t xml:space="preserve"> 40 SDR 102, effective December 3, 2013</w:t>
      </w:r>
      <w:r>
        <w:rPr>
          <w:lang w:val="en-US" w:bidi="en-US" w:eastAsia="en-US"/>
        </w:rPr>
        <w:t xml:space="preserve">; </w:t>
      </w:r>
      <w:r>
        <w:rPr>
          <w:rFonts w:ascii="Times New Roman" w:hAnsi="Times New Roman"/>
          <w:sz w:val="24"/>
        </w:rPr>
        <w:t>45 SDR 158, effective June 27, 2019</w:t>
      </w:r>
      <w:r>
        <w:t>.</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General Authority:</w:t>
      </w:r>
      <w:r>
        <w:t xml:space="preserve"> SDCL </w:t>
      </w:r>
      <w:r>
        <w:rPr>
          <w:lang w:val="en-US" w:bidi="en-US" w:eastAsia="en-US"/>
        </w:rPr>
        <w:t xml:space="preserve">58-14-17, 58-18-79, </w:t>
      </w:r>
      <w:r>
        <w:t>58-18-89.</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r>
        <w:tab/>
      </w:r>
      <w:r>
        <w:rPr>
          <w:b w:val="1"/>
        </w:rPr>
        <w:t>Law Implemented:</w:t>
      </w:r>
      <w:r>
        <w:t xml:space="preserve"> SDCL 58-18-88, 58-18-89.</w:t>
      </w:r>
    </w:p>
    <w:p>
      <w:pPr>
        <w:tabs>
          <w:tab w:val="left" w:pos="576" w:leader="none"/>
          <w:tab w:val="left" w:pos="810"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left="-14"/>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2013-11-22T18:59:00Z</dcterms:created>
  <cp:lastModifiedBy>Rhonda Purkapile</cp:lastModifiedBy>
  <dcterms:modified xsi:type="dcterms:W3CDTF">2019-06-18T20:11:54Z</dcterms:modified>
  <cp:revision>3</cp:revision>
</cp:coreProperties>
</file>