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848EBC2" Type="http://schemas.openxmlformats.org/officeDocument/2006/relationships/officeDocument" Target="/word/document.xml" /><Relationship Id="coreR1848EBC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20:06:57:16.  Insolvency.</w:t>
      </w:r>
      <w:r>
        <w:t xml:space="preserve"> The provisions of SDCL chapter 58-29B apply to multiple employer trusts which are considered insurers for purposes of that chapter.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40 SDR 102, effective December 3, 2013</w:t>
      </w:r>
      <w:r>
        <w:rPr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45 SDR 158, effective June 27, 2019</w:t>
      </w:r>
      <w:r>
        <w:t>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58-18-89.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58-18-88, 58-18-89, ch 58-29B</w:t>
      </w:r>
      <w:r>
        <w:t>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2013-11-22T19:04:00Z</dcterms:created>
  <cp:lastModifiedBy>Rhonda Purkapile</cp:lastModifiedBy>
  <dcterms:modified xsi:type="dcterms:W3CDTF">2019-06-18T20:23:59Z</dcterms:modified>
  <cp:revision>3</cp:revision>
</cp:coreProperties>
</file>