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248D8F51" Type="http://schemas.openxmlformats.org/officeDocument/2006/relationships/officeDocument" Target="/word/document.xml" /><Relationship Id="coreR248D8F5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b w:val="1"/>
        </w:rPr>
      </w:pPr>
      <w:r>
        <w:tab/>
      </w:r>
      <w:r>
        <w:rPr>
          <w:b w:val="1"/>
        </w:rPr>
        <w:t>46:11:09:11.  ISP.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b w:val="0"/>
          <w:lang w:val="en-US" w:bidi="en-US" w:eastAsia="en-US"/>
        </w:rPr>
        <w:tab/>
        <w:t>(1)</w:t>
      </w:r>
      <w:r>
        <w:rPr>
          <w:b w:val="1"/>
          <w:lang w:val="en-US" w:bidi="en-US" w:eastAsia="en-US"/>
        </w:rPr>
        <w:t>  </w:t>
      </w:r>
      <w:r>
        <w:t>The coordinator shall: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val="en-US" w:bidi="en-US" w:eastAsia="en-US"/>
        </w:rPr>
        <w:tab/>
      </w:r>
      <w:r>
        <w:rPr>
          <w:lang w:val="en-US" w:bidi="en-US" w:eastAsia="en-US"/>
        </w:rPr>
        <w:tab/>
      </w:r>
      <w:r>
        <w:t>(</w:t>
      </w:r>
      <w:r>
        <w:rPr>
          <w:lang w:val="en-US" w:bidi="en-US" w:eastAsia="en-US"/>
        </w:rPr>
        <w:t>a</w:t>
      </w:r>
      <w:r>
        <w:t>)</w:t>
      </w:r>
      <w:r>
        <w:rPr>
          <w:lang w:val="en-US" w:bidi="en-US" w:eastAsia="en-US"/>
        </w:rPr>
        <w:t>  </w:t>
      </w:r>
      <w:r>
        <w:t>Identify the ISP team within 15 calendar days of service being initiated;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val="en-US" w:bidi="en-US" w:eastAsia="en-US"/>
        </w:rPr>
        <w:tab/>
      </w:r>
      <w:r>
        <w:rPr>
          <w:lang w:val="en-US" w:bidi="en-US" w:eastAsia="en-US"/>
        </w:rPr>
        <w:tab/>
      </w:r>
      <w:r>
        <w:t>(</w:t>
      </w:r>
      <w:r>
        <w:rPr>
          <w:lang w:val="en-US" w:bidi="en-US" w:eastAsia="en-US"/>
        </w:rPr>
        <w:t>b</w:t>
      </w:r>
      <w:r>
        <w:t>)</w:t>
      </w:r>
      <w:r>
        <w:rPr>
          <w:lang w:val="en-US" w:bidi="en-US" w:eastAsia="en-US"/>
        </w:rPr>
        <w:t>  </w:t>
      </w:r>
      <w:r>
        <w:t>Complete the ISP within 30 calendar days of service being initiated;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val="en-US" w:bidi="en-US" w:eastAsia="en-US"/>
        </w:rPr>
        <w:tab/>
      </w:r>
      <w:r>
        <w:rPr>
          <w:lang w:val="en-US" w:bidi="en-US" w:eastAsia="en-US"/>
        </w:rPr>
        <w:tab/>
      </w:r>
      <w:r>
        <w:t>(</w:t>
      </w:r>
      <w:r>
        <w:rPr>
          <w:lang w:val="en-US" w:bidi="en-US" w:eastAsia="en-US"/>
        </w:rPr>
        <w:t>c</w:t>
      </w:r>
      <w:r>
        <w:t>)</w:t>
      </w:r>
      <w:r>
        <w:rPr>
          <w:lang w:val="en-US" w:bidi="en-US" w:eastAsia="en-US"/>
        </w:rPr>
        <w:t>  </w:t>
      </w:r>
      <w:r>
        <w:t>Implement the ISP within 45 calendar days of service being initiated.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val="en-US" w:bidi="en-US" w:eastAsia="en-US"/>
        </w:rPr>
        <w:tab/>
      </w:r>
      <w:r>
        <w:rPr>
          <w:lang w:val="en-US" w:bidi="en-US" w:eastAsia="en-US"/>
        </w:rPr>
        <w:t>(2)  </w:t>
      </w:r>
      <w:r>
        <w:t>The ISP must be developed with the participant, the participant's parent if the participant is under 18 years of age, or the participant's guardian, if any. The coordinator shall review the ISP quarterly with the participant, the participant's parent if the participant is under 18 years of age, or the participant's guardian, if any, and document the outcome of the review and any recommendations regarding the status of the ISP.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val="en-US" w:bidi="en-US" w:eastAsia="en-US"/>
        </w:rPr>
        <w:tab/>
      </w:r>
      <w:r>
        <w:rPr>
          <w:lang w:val="en-US" w:bidi="en-US" w:eastAsia="en-US"/>
        </w:rPr>
        <w:t>(3)  </w:t>
      </w:r>
      <w:r>
        <w:t xml:space="preserve">The ISP </w:t>
      </w:r>
      <w:r>
        <w:rPr>
          <w:lang w:val="en-US" w:bidi="en-US" w:eastAsia="en-US"/>
        </w:rPr>
        <w:t>must</w:t>
      </w:r>
      <w:r>
        <w:t xml:space="preserve"> include: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val="en-US" w:bidi="en-US" w:eastAsia="en-US"/>
        </w:rPr>
      </w:pPr>
      <w:r>
        <w:rPr>
          <w:lang w:val="en-US" w:bidi="en-US" w:eastAsia="en-US"/>
        </w:rPr>
        <w:tab/>
        <w:tab/>
        <w:t>(a)  The participant</w:t>
      </w:r>
      <w:r>
        <w:rPr>
          <w:lang w:val="en-US" w:bidi="en-US" w:eastAsia="en-US"/>
        </w:rPr>
        <w:t>'</w:t>
      </w:r>
      <w:r>
        <w:rPr>
          <w:lang w:val="en-US" w:bidi="en-US" w:eastAsia="en-US"/>
        </w:rPr>
        <w:t>s vision of a good life, including: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val="en-US" w:bidi="en-US" w:eastAsia="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val="en-US" w:bidi="en-US" w:eastAsia="en-US"/>
        </w:rPr>
      </w:pPr>
      <w:r>
        <w:rPr>
          <w:lang w:val="en-US" w:bidi="en-US" w:eastAsia="en-US"/>
        </w:rPr>
        <w:tab/>
        <w:tab/>
        <w:tab/>
      </w:r>
      <w:r>
        <w:rPr>
          <w:lang w:val="en-US" w:bidi="en-US" w:eastAsia="en-US"/>
        </w:rPr>
        <w:t>(</w:t>
      </w:r>
      <w:r>
        <w:rPr>
          <w:lang w:val="en-US" w:bidi="en-US" w:eastAsia="en-US"/>
        </w:rPr>
        <w:t>i</w:t>
      </w:r>
      <w:r>
        <w:rPr>
          <w:lang w:val="en-US" w:bidi="en-US" w:eastAsia="en-US"/>
        </w:rPr>
        <w:t>) People, places, experiences, and possessions, which bring satisfaction, joy, and contentment to the participant;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val="en-US" w:bidi="en-US" w:eastAsia="en-US"/>
        </w:rPr>
      </w:pPr>
      <w:r>
        <w:rPr>
          <w:lang w:val="en-US" w:bidi="en-US" w:eastAsia="en-US"/>
        </w:rPr>
        <w:tab/>
        <w:tab/>
        <w:tab/>
      </w:r>
      <w:r>
        <w:rPr>
          <w:lang w:val="en-US" w:bidi="en-US" w:eastAsia="en-US"/>
        </w:rPr>
        <w:t>(</w:t>
      </w:r>
      <w:r>
        <w:rPr>
          <w:lang w:val="en-US" w:bidi="en-US" w:eastAsia="en-US"/>
        </w:rPr>
        <w:t>ii</w:t>
      </w:r>
      <w:r>
        <w:rPr>
          <w:lang w:val="en-US" w:bidi="en-US" w:eastAsia="en-US"/>
        </w:rPr>
        <w:t>) Supports that promote the participant’s health, safety, and role as a valued member of the community;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val="en-US" w:bidi="en-US" w:eastAsia="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val="en-US" w:bidi="en-US" w:eastAsia="en-US"/>
        </w:rPr>
      </w:pPr>
      <w:r>
        <w:rPr>
          <w:lang w:val="en-US" w:bidi="en-US" w:eastAsia="en-US"/>
        </w:rPr>
        <w:tab/>
        <w:tab/>
      </w:r>
      <w:r>
        <w:rPr>
          <w:lang w:val="en-US" w:bidi="en-US" w:eastAsia="en-US"/>
        </w:rPr>
        <w:t>(</w:t>
      </w:r>
      <w:r>
        <w:rPr>
          <w:lang w:val="en-US" w:bidi="en-US" w:eastAsia="en-US"/>
        </w:rPr>
        <w:t>b</w:t>
      </w:r>
      <w:r>
        <w:rPr>
          <w:lang w:val="en-US" w:bidi="en-US" w:eastAsia="en-US"/>
        </w:rPr>
        <w:t>) The participant</w:t>
      </w:r>
      <w:r>
        <w:rPr>
          <w:lang w:val="en-US" w:bidi="en-US" w:eastAsia="en-US"/>
        </w:rPr>
        <w:t>'</w:t>
      </w:r>
      <w:r>
        <w:rPr>
          <w:lang w:val="en-US" w:bidi="en-US" w:eastAsia="en-US"/>
        </w:rPr>
        <w:t>s goals including;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val="en-US" w:bidi="en-US" w:eastAsia="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val="en-US" w:bidi="en-US" w:eastAsia="en-US"/>
        </w:rPr>
      </w:pPr>
      <w:r>
        <w:rPr>
          <w:lang w:val="en-US" w:bidi="en-US" w:eastAsia="en-US"/>
        </w:rPr>
        <w:tab/>
        <w:tab/>
        <w:tab/>
      </w:r>
      <w:r>
        <w:rPr>
          <w:lang w:val="en-US" w:bidi="en-US" w:eastAsia="en-US"/>
        </w:rPr>
        <w:t>(</w:t>
      </w:r>
      <w:r>
        <w:rPr>
          <w:lang w:val="en-US" w:bidi="en-US" w:eastAsia="en-US"/>
        </w:rPr>
        <w:t>i</w:t>
      </w:r>
      <w:r>
        <w:rPr>
          <w:lang w:val="en-US" w:bidi="en-US" w:eastAsia="en-US"/>
        </w:rPr>
        <w:t>) Identification of quality of life outcomes for the participant;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val="en-US" w:bidi="en-US" w:eastAsia="en-US"/>
        </w:rPr>
      </w:pPr>
      <w:r>
        <w:rPr>
          <w:lang w:val="en-US" w:bidi="en-US" w:eastAsia="en-US"/>
        </w:rPr>
        <w:tab/>
        <w:tab/>
        <w:tab/>
      </w:r>
      <w:r>
        <w:rPr>
          <w:lang w:val="en-US" w:bidi="en-US" w:eastAsia="en-US"/>
        </w:rPr>
        <w:t>(</w:t>
      </w:r>
      <w:r>
        <w:rPr>
          <w:lang w:val="en-US" w:bidi="en-US" w:eastAsia="en-US"/>
        </w:rPr>
        <w:t>ii</w:t>
      </w:r>
      <w:r>
        <w:rPr>
          <w:lang w:val="en-US" w:bidi="en-US" w:eastAsia="en-US"/>
        </w:rPr>
        <w:t>) Consideration of desired employment outcomes;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val="en-US" w:bidi="en-US" w:eastAsia="en-US"/>
        </w:rPr>
      </w:pPr>
      <w:r>
        <w:rPr>
          <w:lang w:val="en-US" w:bidi="en-US" w:eastAsia="en-US"/>
        </w:rPr>
        <w:tab/>
        <w:tab/>
        <w:tab/>
      </w:r>
      <w:r>
        <w:rPr>
          <w:lang w:val="en-US" w:bidi="en-US" w:eastAsia="en-US"/>
        </w:rPr>
        <w:t>(</w:t>
      </w:r>
      <w:r>
        <w:rPr>
          <w:lang w:val="en-US" w:bidi="en-US" w:eastAsia="en-US"/>
        </w:rPr>
        <w:t>iii</w:t>
      </w:r>
      <w:r>
        <w:rPr>
          <w:lang w:val="en-US" w:bidi="en-US" w:eastAsia="en-US"/>
        </w:rPr>
        <w:t>) Evaluation of past and future life experiences, which will promote the participant</w:t>
      </w:r>
      <w:r>
        <w:rPr>
          <w:lang w:val="en-US" w:bidi="en-US" w:eastAsia="en-US"/>
        </w:rPr>
        <w:t>'</w:t>
      </w:r>
      <w:r>
        <w:rPr>
          <w:lang w:val="en-US" w:bidi="en-US" w:eastAsia="en-US"/>
        </w:rPr>
        <w:t>s vision for a good life;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val="en-US" w:bidi="en-US" w:eastAsia="en-US"/>
        </w:rPr>
      </w:pPr>
      <w:r>
        <w:rPr>
          <w:lang w:val="en-US" w:bidi="en-US" w:eastAsia="en-US"/>
        </w:rPr>
        <w:tab/>
        <w:tab/>
        <w:tab/>
      </w:r>
      <w:r>
        <w:rPr>
          <w:lang w:val="en-US" w:bidi="en-US" w:eastAsia="en-US"/>
        </w:rPr>
        <w:t>(</w:t>
      </w:r>
      <w:r>
        <w:rPr>
          <w:lang w:val="en-US" w:bidi="en-US" w:eastAsia="en-US"/>
        </w:rPr>
        <w:t>iv</w:t>
      </w:r>
      <w:r>
        <w:rPr>
          <w:lang w:val="en-US" w:bidi="en-US" w:eastAsia="en-US"/>
        </w:rPr>
        <w:t>) Specific action steps that will assist the participant in attaining the goal;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val="en-US" w:bidi="en-US" w:eastAsia="en-US"/>
        </w:rPr>
        <w:tab/>
      </w:r>
      <w:r>
        <w:tab/>
        <w:t>(</w:t>
      </w:r>
      <w:r>
        <w:rPr>
          <w:lang w:val="en-US" w:bidi="en-US" w:eastAsia="en-US"/>
        </w:rPr>
        <w:t>c</w:t>
      </w:r>
      <w:r>
        <w:t>)  Any services or supports to be provided to the participant;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val="en-US" w:bidi="en-US" w:eastAsia="en-US"/>
        </w:rPr>
        <w:tab/>
      </w:r>
      <w:r>
        <w:tab/>
        <w:t>(</w:t>
      </w:r>
      <w:r>
        <w:rPr>
          <w:lang w:val="en-US" w:bidi="en-US" w:eastAsia="en-US"/>
        </w:rPr>
        <w:t>d</w:t>
      </w:r>
      <w:r>
        <w:t>)  The amount, frequency, and duration of each service;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val="en-US" w:bidi="en-US" w:eastAsia="en-US"/>
        </w:rPr>
      </w:pPr>
      <w:r>
        <w:rPr>
          <w:lang w:val="en-US" w:bidi="en-US" w:eastAsia="en-US"/>
        </w:rPr>
        <w:tab/>
      </w:r>
      <w:r>
        <w:tab/>
      </w:r>
      <w:r>
        <w:rPr>
          <w:lang w:val="en-US" w:bidi="en-US" w:eastAsia="en-US"/>
        </w:rPr>
        <w:t>(e)  </w:t>
      </w:r>
      <w:r>
        <w:rPr>
          <w:lang w:val="en-US" w:bidi="en-US" w:eastAsia="en-US"/>
        </w:rPr>
        <w:t>Consideration of information gathered through person-centered discovery;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val="en-US" w:bidi="en-US" w:eastAsia="en-US"/>
        </w:rPr>
      </w:pPr>
      <w:r>
        <w:rPr>
          <w:lang w:val="en-US" w:bidi="en-US" w:eastAsia="en-US"/>
        </w:rPr>
        <w:tab/>
        <w:tab/>
        <w:t>(f)  </w:t>
      </w:r>
      <w:r>
        <w:rPr>
          <w:lang w:val="en-US" w:bidi="en-US" w:eastAsia="en-US"/>
        </w:rPr>
        <w:t>Consideration of integrated supports and resources available to the participant;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val="en-US" w:bidi="en-US" w:eastAsia="en-US"/>
        </w:rPr>
        <w:tab/>
        <w:tab/>
      </w:r>
      <w:r>
        <w:t>(</w:t>
      </w:r>
      <w:r>
        <w:rPr>
          <w:lang w:val="en-US" w:bidi="en-US" w:eastAsia="en-US"/>
        </w:rPr>
        <w:t>g</w:t>
      </w:r>
      <w:r>
        <w:t>)  Individuals responsible for providing the supports, implementation, and monitoring of the ISP;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val="en-US" w:bidi="en-US" w:eastAsia="en-US"/>
        </w:rPr>
        <w:tab/>
      </w:r>
      <w:r>
        <w:tab/>
        <w:t>(</w:t>
      </w:r>
      <w:r>
        <w:rPr>
          <w:lang w:val="en-US" w:bidi="en-US" w:eastAsia="en-US"/>
        </w:rPr>
        <w:t>h</w:t>
      </w:r>
      <w:r>
        <w:t>)  An emergency back-up plan developed to address concerns identified through completed assessments;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val="en-US" w:bidi="en-US" w:eastAsia="en-US"/>
        </w:rPr>
        <w:tab/>
      </w:r>
      <w:r>
        <w:tab/>
        <w:t>(</w:t>
      </w:r>
      <w:r>
        <w:rPr>
          <w:lang w:val="en-US" w:bidi="en-US" w:eastAsia="en-US"/>
        </w:rPr>
        <w:t>i</w:t>
      </w:r>
      <w:r>
        <w:t>)  Documentation indicating that the participant or the participant's parent or guardian has been involved in, informed of, and agrees with the plan;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val="en-US" w:bidi="en-US" w:eastAsia="en-US"/>
        </w:rPr>
        <w:tab/>
        <w:tab/>
      </w:r>
      <w:r>
        <w:t>(</w:t>
      </w:r>
      <w:r>
        <w:rPr>
          <w:lang w:val="en-US" w:bidi="en-US" w:eastAsia="en-US"/>
        </w:rPr>
        <w:t>j</w:t>
      </w:r>
      <w:r>
        <w:t>)  A description of the process for appeal pursuant to § 46:11:09:24.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40 SDR 102, effective December 3, 2013</w:t>
      </w:r>
      <w:r>
        <w:t>; 46 SDR 66, effective November 27,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27B-2-26.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27B-2-26(3)(4)(9).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2013-12-03T17:25:00Z</dcterms:created>
  <cp:lastModifiedBy>Rhonda Purkapile</cp:lastModifiedBy>
  <dcterms:modified xsi:type="dcterms:W3CDTF">2019-11-25T22:02:05Z</dcterms:modified>
  <cp:revision>3</cp:revision>
</cp:coreProperties>
</file>