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B1930A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24:57:02:03.  Alternative evaluation model.</w:t>
      </w:r>
      <w:r>
        <w:t xml:space="preserve"> Notwithstanding § 24:57:02:02, a school district may use a model of professional practice other than the Danielson framework to evaluate its teachers if it proves to the department that this model is aligned with the Danielson framework. A school district may also choose not to use student learning objectives as a measure of student growth if it proves to the department that the district's method of measuring student growth for all teachers in the district reflects a rigorous, yet realistic expectation of student growth that can be achieved during the instructional period and includes district, school, or teacher-developed assessments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40 SDR 102, effective December 4, 2013</w:t>
      </w:r>
      <w:r>
        <w:rPr>
          <w:rFonts w:ascii="Times New Roman" w:hAnsi="Times New Roman"/>
          <w:sz w:val="24"/>
        </w:rPr>
        <w:t>; 43 SDR 176,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13-3-69(7), 13-42-33.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13-3-69(7), 13-42-33 to 13-42-35, inclusive.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