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12:22:03:19.  Confidentiality.</w:t>
      </w:r>
      <w:r>
        <w:t xml:space="preserve"> </w:t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40 SDR 109, effective December 9, 2013; SL 2019, ch 235, § 37 and 38, effective April 14, 2019</w:t>
      </w:r>
      <w:r>
        <w:rPr>
          <w:lang w:val="en-US" w:bidi="en-US" w:eastAsia="en-US"/>
        </w:rPr>
        <w:t>; 52 SDR 49, effective November 17, 2025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260" w:right="1440" w:top="990" w:bottom="99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2013-12-13T20:14:00Z</dcterms:created>
  <cp:lastModifiedBy>Kelly Thompson</cp:lastModifiedBy>
  <dcterms:modified xsi:type="dcterms:W3CDTF">2025-11-17T02:42:16Z</dcterms:modified>
  <cp:revision>4</cp:revision>
</cp:coreProperties>
</file>